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D029" w14:textId="181932A2" w:rsidR="00C85939" w:rsidRDefault="00EF2003" w:rsidP="00EF2003">
      <w:pPr>
        <w:tabs>
          <w:tab w:val="left" w:pos="1155"/>
          <w:tab w:val="center" w:pos="4536"/>
          <w:tab w:val="left" w:pos="6480"/>
        </w:tabs>
        <w:spacing w:before="120"/>
        <w:outlineLvl w:val="0"/>
        <w:rPr>
          <w:rFonts w:ascii="Calibri" w:hAnsi="Calibri"/>
          <w:b/>
          <w:bCs/>
          <w:sz w:val="28"/>
          <w:szCs w:val="28"/>
        </w:rPr>
      </w:pPr>
      <w:r>
        <w:rPr>
          <w:rFonts w:ascii="Calibri" w:hAnsi="Calibri"/>
          <w:b/>
          <w:bCs/>
          <w:sz w:val="32"/>
          <w:szCs w:val="32"/>
        </w:rPr>
        <w:tab/>
      </w:r>
      <w:r>
        <w:rPr>
          <w:rFonts w:ascii="Calibri" w:hAnsi="Calibri"/>
          <w:b/>
          <w:bCs/>
          <w:sz w:val="32"/>
          <w:szCs w:val="32"/>
        </w:rPr>
        <w:tab/>
      </w:r>
      <w:r w:rsidR="000942EE">
        <w:rPr>
          <w:rFonts w:ascii="Calibri" w:hAnsi="Calibri"/>
          <w:b/>
          <w:bCs/>
          <w:sz w:val="32"/>
          <w:szCs w:val="32"/>
        </w:rPr>
        <w:t>CAHIER DES CHARGES</w:t>
      </w:r>
    </w:p>
    <w:p w14:paraId="466ABD86" w14:textId="77777777" w:rsidR="007F1763" w:rsidRDefault="007F1763" w:rsidP="00CE2850">
      <w:pPr>
        <w:spacing w:before="60"/>
        <w:jc w:val="both"/>
        <w:outlineLvl w:val="0"/>
        <w:rPr>
          <w:rFonts w:ascii="Calibri" w:hAnsi="Calibri"/>
          <w:sz w:val="22"/>
          <w:szCs w:val="22"/>
        </w:rPr>
      </w:pPr>
    </w:p>
    <w:p w14:paraId="07F58E75" w14:textId="77777777" w:rsidR="007F1763" w:rsidRPr="00D15F32" w:rsidRDefault="007F1763" w:rsidP="007F1763">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Informations générales</w:t>
      </w:r>
    </w:p>
    <w:p w14:paraId="7266CAA2" w14:textId="77777777" w:rsidR="007F1763" w:rsidRDefault="007F1763" w:rsidP="00CE2850">
      <w:pPr>
        <w:spacing w:before="60"/>
        <w:jc w:val="both"/>
        <w:outlineLvl w:val="0"/>
        <w:rPr>
          <w:rFonts w:ascii="Calibri" w:hAnsi="Calibr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Default="00EC3375" w:rsidP="001E5EB8">
            <w:pPr>
              <w:spacing w:before="60"/>
              <w:outlineLvl w:val="0"/>
              <w:rPr>
                <w:rFonts w:ascii="Calibri" w:hAnsi="Calibri"/>
                <w:sz w:val="22"/>
                <w:szCs w:val="22"/>
              </w:rPr>
            </w:pPr>
            <w:r>
              <w:rPr>
                <w:rFonts w:ascii="Calibri" w:hAnsi="Calibri"/>
                <w:sz w:val="22"/>
                <w:szCs w:val="22"/>
              </w:rPr>
              <w:t>Intitulé de la mission</w:t>
            </w:r>
          </w:p>
        </w:tc>
        <w:tc>
          <w:tcPr>
            <w:tcW w:w="6169" w:type="dxa"/>
            <w:tcBorders>
              <w:top w:val="single" w:sz="4" w:space="0" w:color="auto"/>
              <w:left w:val="single" w:sz="2" w:space="0" w:color="000000"/>
              <w:bottom w:val="dashSmallGap" w:sz="4" w:space="0" w:color="auto"/>
            </w:tcBorders>
          </w:tcPr>
          <w:p w14:paraId="6BE630A9" w14:textId="2EDFC48E" w:rsidR="00EC3375" w:rsidRPr="00A62AA9" w:rsidRDefault="00A62AA9" w:rsidP="00D714C6">
            <w:pPr>
              <w:spacing w:before="60"/>
              <w:jc w:val="center"/>
              <w:outlineLvl w:val="0"/>
              <w:rPr>
                <w:rFonts w:asciiTheme="minorHAnsi" w:hAnsiTheme="minorHAnsi" w:cstheme="minorHAnsi"/>
                <w:sz w:val="22"/>
                <w:szCs w:val="22"/>
              </w:rPr>
            </w:pPr>
            <w:r w:rsidRPr="00A62AA9">
              <w:rPr>
                <w:rFonts w:asciiTheme="minorHAnsi" w:hAnsiTheme="minorHAnsi" w:cstheme="minorHAnsi"/>
                <w:sz w:val="22"/>
                <w:szCs w:val="22"/>
              </w:rPr>
              <w:t>RECRUTEMENT CONSORTIUM D’INCUBATEURS LABELLISES</w:t>
            </w:r>
          </w:p>
        </w:tc>
      </w:tr>
      <w:tr w:rsidR="00EC3375"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Default="00EC3375" w:rsidP="001E5EB8">
            <w:pPr>
              <w:spacing w:before="60"/>
              <w:outlineLvl w:val="0"/>
              <w:rPr>
                <w:rFonts w:ascii="Calibri" w:hAnsi="Calibri"/>
                <w:sz w:val="22"/>
                <w:szCs w:val="22"/>
              </w:rPr>
            </w:pPr>
            <w:r>
              <w:rPr>
                <w:rFonts w:ascii="Calibri" w:hAnsi="Calibri"/>
                <w:sz w:val="22"/>
                <w:szCs w:val="22"/>
              </w:rPr>
              <w:t>Bénéficiaire(s)</w:t>
            </w:r>
          </w:p>
        </w:tc>
        <w:tc>
          <w:tcPr>
            <w:tcW w:w="6169" w:type="dxa"/>
            <w:tcBorders>
              <w:top w:val="dashSmallGap" w:sz="4" w:space="0" w:color="auto"/>
              <w:left w:val="single" w:sz="2" w:space="0" w:color="000000"/>
              <w:bottom w:val="dashSmallGap" w:sz="4" w:space="0" w:color="auto"/>
            </w:tcBorders>
          </w:tcPr>
          <w:p w14:paraId="1E447E27" w14:textId="20FD0BAD" w:rsidR="00EC3375" w:rsidRPr="00A62AA9" w:rsidRDefault="00A62AA9" w:rsidP="009649DE">
            <w:pPr>
              <w:spacing w:before="60"/>
              <w:jc w:val="center"/>
              <w:outlineLvl w:val="0"/>
              <w:rPr>
                <w:rFonts w:asciiTheme="minorHAnsi" w:hAnsiTheme="minorHAnsi" w:cstheme="minorHAnsi"/>
                <w:sz w:val="22"/>
                <w:szCs w:val="22"/>
              </w:rPr>
            </w:pPr>
            <w:r w:rsidRPr="00A62AA9">
              <w:rPr>
                <w:rFonts w:asciiTheme="minorHAnsi" w:hAnsiTheme="minorHAnsi" w:cstheme="minorHAnsi"/>
                <w:sz w:val="22"/>
                <w:szCs w:val="22"/>
              </w:rPr>
              <w:t>Programme Économie Bleue</w:t>
            </w:r>
          </w:p>
        </w:tc>
      </w:tr>
      <w:tr w:rsidR="00EC3375"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Default="00EC3375" w:rsidP="001E5EB8">
            <w:pPr>
              <w:spacing w:before="60"/>
              <w:outlineLvl w:val="0"/>
              <w:rPr>
                <w:rFonts w:ascii="Calibri" w:hAnsi="Calibri"/>
                <w:sz w:val="22"/>
                <w:szCs w:val="22"/>
              </w:rPr>
            </w:pPr>
            <w:r>
              <w:rPr>
                <w:rFonts w:ascii="Calibri" w:hAnsi="Calibri"/>
                <w:sz w:val="22"/>
                <w:szCs w:val="22"/>
              </w:rPr>
              <w:t>Pays</w:t>
            </w:r>
          </w:p>
        </w:tc>
        <w:tc>
          <w:tcPr>
            <w:tcW w:w="6169" w:type="dxa"/>
            <w:tcBorders>
              <w:top w:val="dashSmallGap" w:sz="4" w:space="0" w:color="auto"/>
              <w:left w:val="single" w:sz="2" w:space="0" w:color="000000"/>
              <w:bottom w:val="dashSmallGap" w:sz="4" w:space="0" w:color="auto"/>
            </w:tcBorders>
            <w:vAlign w:val="bottom"/>
          </w:tcPr>
          <w:p w14:paraId="1F4C74EA" w14:textId="6EF23720" w:rsidR="00EC3375" w:rsidRPr="00A62AA9" w:rsidRDefault="00A62AA9" w:rsidP="0017140E">
            <w:pPr>
              <w:jc w:val="center"/>
              <w:rPr>
                <w:rFonts w:asciiTheme="minorHAnsi" w:hAnsiTheme="minorHAnsi" w:cstheme="minorHAnsi"/>
                <w:sz w:val="22"/>
                <w:szCs w:val="22"/>
              </w:rPr>
            </w:pPr>
            <w:r w:rsidRPr="00A62AA9">
              <w:rPr>
                <w:rFonts w:asciiTheme="minorHAnsi" w:hAnsiTheme="minorHAnsi" w:cstheme="minorHAnsi"/>
                <w:sz w:val="22"/>
                <w:szCs w:val="22"/>
              </w:rPr>
              <w:t>Algérie</w:t>
            </w:r>
          </w:p>
        </w:tc>
      </w:tr>
      <w:tr w:rsidR="000972A8"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01E3D784" w:rsidR="000972A8" w:rsidRDefault="000972A8" w:rsidP="001E5EB8">
            <w:pPr>
              <w:spacing w:before="60"/>
              <w:outlineLvl w:val="0"/>
              <w:rPr>
                <w:rFonts w:ascii="Calibri" w:hAnsi="Calibri"/>
                <w:sz w:val="22"/>
                <w:szCs w:val="22"/>
              </w:rPr>
            </w:pPr>
            <w:r>
              <w:rPr>
                <w:rFonts w:ascii="Calibri" w:hAnsi="Calibri"/>
                <w:sz w:val="22"/>
                <w:szCs w:val="22"/>
              </w:rPr>
              <w:t xml:space="preserve">Durée totale </w:t>
            </w:r>
            <w:r w:rsidR="00A62AA9">
              <w:rPr>
                <w:rFonts w:ascii="Calibri" w:hAnsi="Calibri"/>
                <w:sz w:val="22"/>
                <w:szCs w:val="22"/>
              </w:rPr>
              <w:t xml:space="preserve">du contrat </w:t>
            </w:r>
          </w:p>
        </w:tc>
        <w:tc>
          <w:tcPr>
            <w:tcW w:w="6169" w:type="dxa"/>
            <w:tcBorders>
              <w:top w:val="dashSmallGap" w:sz="4" w:space="0" w:color="auto"/>
              <w:left w:val="single" w:sz="2" w:space="0" w:color="000000"/>
              <w:bottom w:val="dashSmallGap" w:sz="4" w:space="0" w:color="auto"/>
            </w:tcBorders>
          </w:tcPr>
          <w:p w14:paraId="585213D8" w14:textId="7E609DF1" w:rsidR="000972A8" w:rsidRPr="00A62AA9" w:rsidRDefault="00A62AA9" w:rsidP="00A62AA9">
            <w:pPr>
              <w:spacing w:before="60"/>
              <w:jc w:val="center"/>
              <w:outlineLvl w:val="0"/>
              <w:rPr>
                <w:rFonts w:asciiTheme="minorHAnsi" w:hAnsiTheme="minorHAnsi" w:cstheme="minorHAnsi"/>
                <w:sz w:val="22"/>
                <w:szCs w:val="22"/>
              </w:rPr>
            </w:pPr>
            <w:r>
              <w:rPr>
                <w:rFonts w:asciiTheme="minorHAnsi" w:hAnsiTheme="minorHAnsi" w:cstheme="minorHAnsi"/>
                <w:sz w:val="22"/>
                <w:szCs w:val="22"/>
              </w:rPr>
              <w:t>1</w:t>
            </w:r>
            <w:r w:rsidR="006C1F40">
              <w:rPr>
                <w:rFonts w:asciiTheme="minorHAnsi" w:hAnsiTheme="minorHAnsi" w:cstheme="minorHAnsi"/>
                <w:sz w:val="22"/>
                <w:szCs w:val="22"/>
              </w:rPr>
              <w:t>0</w:t>
            </w:r>
            <w:r>
              <w:rPr>
                <w:rFonts w:asciiTheme="minorHAnsi" w:hAnsiTheme="minorHAnsi" w:cstheme="minorHAnsi"/>
                <w:sz w:val="22"/>
                <w:szCs w:val="22"/>
              </w:rPr>
              <w:t xml:space="preserve"> mois</w:t>
            </w:r>
          </w:p>
        </w:tc>
      </w:tr>
    </w:tbl>
    <w:p w14:paraId="5639991B" w14:textId="77777777" w:rsidR="00671483" w:rsidRDefault="00671483" w:rsidP="00CE2850">
      <w:pPr>
        <w:spacing w:before="60"/>
        <w:jc w:val="both"/>
        <w:outlineLvl w:val="0"/>
        <w:rPr>
          <w:rFonts w:ascii="Calibri" w:hAnsi="Calibri"/>
          <w:sz w:val="22"/>
          <w:szCs w:val="22"/>
        </w:rPr>
      </w:pPr>
    </w:p>
    <w:p w14:paraId="7AB3782C" w14:textId="0A174CD8" w:rsidR="001D27F6" w:rsidRPr="00D15F32" w:rsidRDefault="000942EE" w:rsidP="00161C5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Contexte et j</w:t>
      </w:r>
      <w:r w:rsidR="00965444">
        <w:rPr>
          <w:rFonts w:ascii="Calibri" w:eastAsia="Arial Unicode MS" w:hAnsi="Calibri" w:cs="Arial Unicode MS"/>
          <w:b/>
          <w:sz w:val="22"/>
          <w:szCs w:val="22"/>
          <w:lang w:eastAsia="en-US"/>
        </w:rPr>
        <w:t xml:space="preserve">ustification </w:t>
      </w:r>
      <w:r w:rsidR="00EA4B51">
        <w:rPr>
          <w:rFonts w:ascii="Calibri" w:eastAsia="Arial Unicode MS" w:hAnsi="Calibri" w:cs="Arial Unicode MS"/>
          <w:b/>
          <w:sz w:val="22"/>
          <w:szCs w:val="22"/>
          <w:lang w:eastAsia="en-US"/>
        </w:rPr>
        <w:t>du besoin</w:t>
      </w:r>
    </w:p>
    <w:p w14:paraId="5216283E" w14:textId="77777777" w:rsidR="001441C8" w:rsidRPr="00D15F32" w:rsidRDefault="001441C8" w:rsidP="001D27F6">
      <w:pPr>
        <w:rPr>
          <w:rFonts w:ascii="Calibri" w:hAnsi="Calibri"/>
          <w:sz w:val="22"/>
          <w:szCs w:val="22"/>
        </w:rPr>
      </w:pPr>
    </w:p>
    <w:p w14:paraId="6B429A13" w14:textId="77777777" w:rsidR="00A62AA9"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t>L’objectif général du Programme « Économie Bleue, Pêche et Aquaculture » est de contribuer au développement économique de l’Algérie en développant durablement l’économie bleue et d’accompagner le développement des opportunités économiques du secteur au profit des populations littorales, d’une utilisation rationnelle des ressources et en assurant la préservation de l’environnement.</w:t>
      </w:r>
    </w:p>
    <w:p w14:paraId="751DCC9A" w14:textId="77777777" w:rsidR="00A62AA9"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t>Le Programme vient ainsi appuyer l’opérationnalisation de la SNEB-2030 autour de trois objectifs spécifiques (OS) : OS1, l’économie bleue soutient la création d’emplois, de valeur et de nouvelles opportunités d’investissement au profit des communautés côtières par la diversification des services, l’innovation, la mise en place de la Planification des Espaces Maritimes (PEM) et la promotion de l’aquaculture marine et continentale ; OS2, les revenus et les conditions de travail des pêcheurs artisans sont améliorés ; OS3, l’Algérie dispose des capacités opérationnelles pour assurer le suivi, le contrôle et la gestion de la pêche sur l’ensemble de son territoire en répondant aux définitions et exigences d’encadrement et de rapportage auprès des instances régionales de régulation (CGPM, CICTA).</w:t>
      </w:r>
    </w:p>
    <w:p w14:paraId="133F19F9" w14:textId="77777777" w:rsidR="00A62AA9"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t>Le résultat 1.1, lié à l’OS1, vise à améliorer les revenus des acteurs économiques des zones côtières du pays en diversifiant les activités de l’économie bleue, condition d’une création soutenue d’emplois, de valeur et de nouvelles opportunités d’investissement au profit des communautés côtières.</w:t>
      </w:r>
    </w:p>
    <w:p w14:paraId="76D419D4" w14:textId="77777777" w:rsidR="00A62AA9"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t>À titre de rappel, la Banque mondiale définit l’économie bleue comme « l’utilisation durable des ressources océaniques en faveur de la croissance économique, l’amélioration des revenus et des emplois et la santé des écosystèmes océaniques ». Dans le contexte méditerranéen, l’économie bleue est entendue comme « une économie circulaire peu polluante, efficace dans l’utilisation des ressources et basée sur des modes de consommation et de production durables, favorisant le bien-être humain et l’égalité sociale, génératrice de valeurs économiques et d’emplois, réduisant de manière significative les risques environnementaux et les pénuries écologiques ». Le Programme a identifié comme secteurs et activités prioritaires la pêche, l’aquaculture, le tourisme côtier, la construction, la réparation et l’ingénierie navales, les biotechnologies marines, la gestion des déchets portuaires, ainsi que l’ensemble des technologies et solutions digitales appliquées à l’économie bleue.</w:t>
      </w:r>
    </w:p>
    <w:p w14:paraId="5BDC986F" w14:textId="1F6CEABA" w:rsidR="00CB7AA1"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lastRenderedPageBreak/>
        <w:t>L</w:t>
      </w:r>
      <w:r>
        <w:rPr>
          <w:rFonts w:asciiTheme="minorHAnsi" w:hAnsiTheme="minorHAnsi" w:cstheme="minorHAnsi"/>
          <w:sz w:val="22"/>
          <w:szCs w:val="22"/>
        </w:rPr>
        <w:t>a</w:t>
      </w:r>
      <w:r w:rsidRPr="00A62AA9">
        <w:rPr>
          <w:rFonts w:asciiTheme="minorHAnsi" w:hAnsiTheme="minorHAnsi" w:cstheme="minorHAnsi"/>
          <w:sz w:val="22"/>
          <w:szCs w:val="22"/>
        </w:rPr>
        <w:t xml:space="preserve"> présent</w:t>
      </w:r>
      <w:r>
        <w:rPr>
          <w:rFonts w:asciiTheme="minorHAnsi" w:hAnsiTheme="minorHAnsi" w:cstheme="minorHAnsi"/>
          <w:sz w:val="22"/>
          <w:szCs w:val="22"/>
        </w:rPr>
        <w:t>e</w:t>
      </w:r>
      <w:r w:rsidRPr="00A62AA9">
        <w:rPr>
          <w:rFonts w:asciiTheme="minorHAnsi" w:hAnsiTheme="minorHAnsi" w:cstheme="minorHAnsi"/>
          <w:sz w:val="22"/>
          <w:szCs w:val="22"/>
        </w:rPr>
        <w:t xml:space="preserve"> </w:t>
      </w:r>
      <w:r>
        <w:rPr>
          <w:rFonts w:asciiTheme="minorHAnsi" w:hAnsiTheme="minorHAnsi" w:cstheme="minorHAnsi"/>
          <w:sz w:val="22"/>
          <w:szCs w:val="22"/>
        </w:rPr>
        <w:t>consultation</w:t>
      </w:r>
      <w:r w:rsidRPr="00A62AA9">
        <w:rPr>
          <w:rFonts w:asciiTheme="minorHAnsi" w:hAnsiTheme="minorHAnsi" w:cstheme="minorHAnsi"/>
          <w:sz w:val="22"/>
          <w:szCs w:val="22"/>
        </w:rPr>
        <w:t xml:space="preserve"> s’inscrit dans le prolongement direct de la phase pilote d’incubation menée de septembre à </w:t>
      </w:r>
      <w:r>
        <w:rPr>
          <w:rFonts w:asciiTheme="minorHAnsi" w:hAnsiTheme="minorHAnsi" w:cstheme="minorHAnsi"/>
          <w:sz w:val="22"/>
          <w:szCs w:val="22"/>
        </w:rPr>
        <w:t>décembre</w:t>
      </w:r>
      <w:r w:rsidRPr="00A62AA9">
        <w:rPr>
          <w:rFonts w:asciiTheme="minorHAnsi" w:hAnsiTheme="minorHAnsi" w:cstheme="minorHAnsi"/>
          <w:sz w:val="22"/>
          <w:szCs w:val="22"/>
        </w:rPr>
        <w:t xml:space="preserve"> 2025, qui a permis de tester un dispositif d’accompagnement ciblé sur six startups, d’évaluer les besoins concrets du secteur, de valider des méthodologies d’accompagnement adaptées et d’identifier de bonnes pratiques. Il matérialise le passage à l’échelle annoncé dans cette phase pilote, avec un programme d’accélération structuré sur dix mois, une couverture des quatorze (14) wilayas du littoral, des dispositifs renforcés (voyages d’étude en Europe, Démo Day mobilisant investisseurs) et une articulation plus étroite avec les politiques publiques de soutien à l’innovation et à l’économie durable.</w:t>
      </w:r>
    </w:p>
    <w:p w14:paraId="38D0CCF7" w14:textId="77777777" w:rsidR="001D27F6" w:rsidRPr="00D15F32" w:rsidRDefault="00965444" w:rsidP="007A6963">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Objectifs et résultats poursuivis</w:t>
      </w:r>
    </w:p>
    <w:p w14:paraId="3D53F620" w14:textId="77777777" w:rsidR="001D27F6" w:rsidRPr="00D15F32" w:rsidRDefault="001D27F6" w:rsidP="00C85939">
      <w:pPr>
        <w:jc w:val="both"/>
        <w:rPr>
          <w:rFonts w:ascii="Calibri" w:hAnsi="Calibri"/>
          <w:sz w:val="22"/>
          <w:szCs w:val="22"/>
        </w:rPr>
      </w:pPr>
    </w:p>
    <w:p w14:paraId="5915EDA9" w14:textId="3AEBBDC1" w:rsidR="00475709" w:rsidRPr="00D15F32" w:rsidRDefault="001D27F6" w:rsidP="00C85939">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Objectif général</w:t>
      </w:r>
      <w:r w:rsidR="0076595C" w:rsidRPr="00D15F32">
        <w:rPr>
          <w:rFonts w:ascii="Calibri" w:eastAsia="Arial Unicode MS" w:hAnsi="Calibri" w:cs="Arial Unicode MS"/>
          <w:b/>
          <w:sz w:val="22"/>
          <w:szCs w:val="22"/>
          <w:lang w:eastAsia="en-US"/>
        </w:rPr>
        <w:t xml:space="preserve"> </w:t>
      </w:r>
    </w:p>
    <w:p w14:paraId="394B4389" w14:textId="77777777" w:rsidR="009236DE" w:rsidRDefault="009236DE" w:rsidP="009236DE">
      <w:pPr>
        <w:jc w:val="both"/>
        <w:rPr>
          <w:rFonts w:ascii="Calibri" w:hAnsi="Calibri"/>
          <w:sz w:val="22"/>
          <w:szCs w:val="22"/>
        </w:rPr>
      </w:pPr>
    </w:p>
    <w:p w14:paraId="63FEC564" w14:textId="4B79774A" w:rsidR="00A62AA9"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t>L’objet d</w:t>
      </w:r>
      <w:r>
        <w:rPr>
          <w:rFonts w:asciiTheme="minorHAnsi" w:hAnsiTheme="minorHAnsi" w:cstheme="minorHAnsi"/>
          <w:sz w:val="22"/>
          <w:szCs w:val="22"/>
        </w:rPr>
        <w:t>e la</w:t>
      </w:r>
      <w:r w:rsidRPr="00A62AA9">
        <w:rPr>
          <w:rFonts w:asciiTheme="minorHAnsi" w:hAnsiTheme="minorHAnsi" w:cstheme="minorHAnsi"/>
          <w:sz w:val="22"/>
          <w:szCs w:val="22"/>
        </w:rPr>
        <w:t xml:space="preserve"> présent</w:t>
      </w:r>
      <w:r>
        <w:rPr>
          <w:rFonts w:asciiTheme="minorHAnsi" w:hAnsiTheme="minorHAnsi" w:cstheme="minorHAnsi"/>
          <w:sz w:val="22"/>
          <w:szCs w:val="22"/>
        </w:rPr>
        <w:t>e</w:t>
      </w:r>
      <w:r w:rsidRPr="00A62AA9">
        <w:rPr>
          <w:rFonts w:asciiTheme="minorHAnsi" w:hAnsiTheme="minorHAnsi" w:cstheme="minorHAnsi"/>
          <w:sz w:val="22"/>
          <w:szCs w:val="22"/>
        </w:rPr>
        <w:t xml:space="preserve"> </w:t>
      </w:r>
      <w:r>
        <w:rPr>
          <w:rFonts w:asciiTheme="minorHAnsi" w:hAnsiTheme="minorHAnsi" w:cstheme="minorHAnsi"/>
          <w:sz w:val="22"/>
          <w:szCs w:val="22"/>
        </w:rPr>
        <w:t>consultation</w:t>
      </w:r>
      <w:r w:rsidRPr="00A62AA9">
        <w:rPr>
          <w:rFonts w:asciiTheme="minorHAnsi" w:hAnsiTheme="minorHAnsi" w:cstheme="minorHAnsi"/>
          <w:sz w:val="22"/>
          <w:szCs w:val="22"/>
        </w:rPr>
        <w:t xml:space="preserve"> est de sélectionner un consortium d’au moins deux (2) incubateurs labellisés, ci-après dénommé « le consortium », opérant dans les wilayas du littoral algérien et disposant d’une expérience avérée dans l’accélération de startups, idéalement dans le domaine de l’économie bleue.</w:t>
      </w:r>
    </w:p>
    <w:p w14:paraId="3FE76FC9" w14:textId="77777777" w:rsidR="00A62AA9" w:rsidRPr="00A62AA9" w:rsidRDefault="00A62AA9" w:rsidP="00A62AA9">
      <w:pPr>
        <w:spacing w:after="120" w:line="276" w:lineRule="auto"/>
        <w:jc w:val="both"/>
        <w:rPr>
          <w:rFonts w:asciiTheme="minorHAnsi" w:hAnsiTheme="minorHAnsi" w:cstheme="minorHAnsi"/>
          <w:sz w:val="22"/>
          <w:szCs w:val="22"/>
        </w:rPr>
      </w:pPr>
      <w:r w:rsidRPr="00A62AA9">
        <w:rPr>
          <w:rFonts w:asciiTheme="minorHAnsi" w:hAnsiTheme="minorHAnsi" w:cstheme="minorHAnsi"/>
          <w:sz w:val="22"/>
          <w:szCs w:val="22"/>
        </w:rPr>
        <w:t xml:space="preserve">Le consortium retenu devra mettre en œuvre un programme complet de </w:t>
      </w:r>
      <w:proofErr w:type="spellStart"/>
      <w:r w:rsidRPr="00A62AA9">
        <w:rPr>
          <w:rFonts w:asciiTheme="minorHAnsi" w:hAnsiTheme="minorHAnsi" w:cstheme="minorHAnsi"/>
          <w:sz w:val="22"/>
          <w:szCs w:val="22"/>
        </w:rPr>
        <w:t>sourcing</w:t>
      </w:r>
      <w:proofErr w:type="spellEnd"/>
      <w:r w:rsidRPr="00A62AA9">
        <w:rPr>
          <w:rFonts w:asciiTheme="minorHAnsi" w:hAnsiTheme="minorHAnsi" w:cstheme="minorHAnsi"/>
          <w:sz w:val="22"/>
          <w:szCs w:val="22"/>
        </w:rPr>
        <w:t>, sélection, accélération et valorisation de huit (8) à dix (10) startups opérant dans les différents domaines de l’économie bleue, sur une période de six (6) à sept (7) mois, incluant un (1) ou deux (2) voyages d’étude en Europe (hors France) et un Démo Day final mobilisant investisseurs et partenaires.</w:t>
      </w:r>
    </w:p>
    <w:p w14:paraId="75A619EB" w14:textId="77777777" w:rsidR="00475709" w:rsidRPr="00D15F32" w:rsidRDefault="00475709" w:rsidP="00C85939">
      <w:pPr>
        <w:tabs>
          <w:tab w:val="num" w:pos="900"/>
        </w:tabs>
        <w:ind w:left="900" w:hanging="360"/>
        <w:jc w:val="both"/>
        <w:rPr>
          <w:rFonts w:ascii="Calibri" w:hAnsi="Calibri"/>
          <w:sz w:val="22"/>
          <w:szCs w:val="22"/>
        </w:rPr>
      </w:pPr>
    </w:p>
    <w:p w14:paraId="003D337A" w14:textId="77777777" w:rsidR="001D27F6" w:rsidRPr="00D15F32" w:rsidRDefault="001D27F6" w:rsidP="00C85939">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Objectif</w:t>
      </w:r>
      <w:r w:rsidR="004F0DD7">
        <w:rPr>
          <w:rFonts w:ascii="Calibri" w:eastAsia="Arial Unicode MS" w:hAnsi="Calibri" w:cs="Arial Unicode MS"/>
          <w:b/>
          <w:sz w:val="22"/>
          <w:szCs w:val="22"/>
          <w:lang w:eastAsia="en-US"/>
        </w:rPr>
        <w:t>s</w:t>
      </w:r>
      <w:r w:rsidRPr="00D15F32">
        <w:rPr>
          <w:rFonts w:ascii="Calibri" w:eastAsia="Arial Unicode MS" w:hAnsi="Calibri" w:cs="Arial Unicode MS"/>
          <w:b/>
          <w:sz w:val="22"/>
          <w:szCs w:val="22"/>
          <w:lang w:eastAsia="en-US"/>
        </w:rPr>
        <w:t xml:space="preserve"> spécifique</w:t>
      </w:r>
      <w:r w:rsidR="004F0DD7">
        <w:rPr>
          <w:rFonts w:ascii="Calibri" w:eastAsia="Arial Unicode MS" w:hAnsi="Calibri" w:cs="Arial Unicode MS"/>
          <w:b/>
          <w:sz w:val="22"/>
          <w:szCs w:val="22"/>
          <w:lang w:eastAsia="en-US"/>
        </w:rPr>
        <w:t>s</w:t>
      </w:r>
    </w:p>
    <w:p w14:paraId="46EC8066" w14:textId="77777777" w:rsidR="00CB7AA1" w:rsidRDefault="00CB7AA1" w:rsidP="00C85939">
      <w:pPr>
        <w:jc w:val="both"/>
        <w:rPr>
          <w:rFonts w:cs="Calibri"/>
        </w:rPr>
      </w:pPr>
    </w:p>
    <w:p w14:paraId="00EEDF83" w14:textId="6F48B0BE" w:rsidR="00A62AA9" w:rsidRPr="00A62AA9" w:rsidRDefault="00A62AA9" w:rsidP="00A62AA9">
      <w:pPr>
        <w:pStyle w:val="Paragraphedeliste"/>
        <w:numPr>
          <w:ilvl w:val="0"/>
          <w:numId w:val="47"/>
        </w:numPr>
        <w:spacing w:after="60" w:line="276" w:lineRule="auto"/>
        <w:contextualSpacing w:val="0"/>
        <w:jc w:val="both"/>
        <w:rPr>
          <w:rFonts w:asciiTheme="minorHAnsi" w:hAnsiTheme="minorHAnsi" w:cstheme="minorHAnsi"/>
          <w:sz w:val="22"/>
          <w:szCs w:val="22"/>
        </w:rPr>
      </w:pPr>
      <w:r w:rsidRPr="00A62AA9">
        <w:rPr>
          <w:rFonts w:asciiTheme="minorHAnsi" w:hAnsiTheme="minorHAnsi" w:cstheme="minorHAnsi"/>
          <w:sz w:val="22"/>
          <w:szCs w:val="22"/>
        </w:rPr>
        <w:t>Capitaliser sur les acquis de la phase pilote 2025, en exploitant prioritairement la base des candidatures qualifiées identifiées dans ce cadre</w:t>
      </w:r>
      <w:r w:rsidR="00BB0FD3">
        <w:rPr>
          <w:rStyle w:val="Appelnotedebasdep"/>
          <w:rFonts w:asciiTheme="minorHAnsi" w:hAnsiTheme="minorHAnsi" w:cstheme="minorHAnsi"/>
          <w:sz w:val="22"/>
          <w:szCs w:val="22"/>
        </w:rPr>
        <w:footnoteReference w:id="1"/>
      </w:r>
      <w:r w:rsidRPr="00A62AA9">
        <w:rPr>
          <w:rFonts w:asciiTheme="minorHAnsi" w:hAnsiTheme="minorHAnsi" w:cstheme="minorHAnsi"/>
          <w:sz w:val="22"/>
          <w:szCs w:val="22"/>
        </w:rPr>
        <w:t xml:space="preserve"> ;</w:t>
      </w:r>
    </w:p>
    <w:p w14:paraId="670143AF" w14:textId="77777777" w:rsidR="00A62AA9" w:rsidRPr="00A62AA9" w:rsidRDefault="00A62AA9" w:rsidP="00A62AA9">
      <w:pPr>
        <w:pStyle w:val="Paragraphedeliste"/>
        <w:numPr>
          <w:ilvl w:val="0"/>
          <w:numId w:val="47"/>
        </w:numPr>
        <w:spacing w:after="60" w:line="276" w:lineRule="auto"/>
        <w:contextualSpacing w:val="0"/>
        <w:jc w:val="both"/>
        <w:rPr>
          <w:rFonts w:asciiTheme="minorHAnsi" w:hAnsiTheme="minorHAnsi" w:cstheme="minorHAnsi"/>
          <w:sz w:val="22"/>
          <w:szCs w:val="22"/>
        </w:rPr>
      </w:pPr>
      <w:r w:rsidRPr="00A62AA9">
        <w:rPr>
          <w:rFonts w:asciiTheme="minorHAnsi" w:hAnsiTheme="minorHAnsi" w:cstheme="minorHAnsi"/>
          <w:sz w:val="22"/>
          <w:szCs w:val="22"/>
        </w:rPr>
        <w:t>Mettre en œuvre un programme d’accélération structuré combinant formation collective, coaching individuel, mentorat sectoriel et expertises pointues (juridique, financière, propriété intellectuelle, internationalisation) ;</w:t>
      </w:r>
    </w:p>
    <w:p w14:paraId="368E7907" w14:textId="77777777" w:rsidR="00A62AA9" w:rsidRPr="00A62AA9" w:rsidRDefault="00A62AA9" w:rsidP="00A62AA9">
      <w:pPr>
        <w:pStyle w:val="Paragraphedeliste"/>
        <w:numPr>
          <w:ilvl w:val="0"/>
          <w:numId w:val="47"/>
        </w:numPr>
        <w:spacing w:after="60" w:line="276" w:lineRule="auto"/>
        <w:contextualSpacing w:val="0"/>
        <w:jc w:val="both"/>
        <w:rPr>
          <w:rFonts w:asciiTheme="minorHAnsi" w:hAnsiTheme="minorHAnsi" w:cstheme="minorHAnsi"/>
          <w:sz w:val="22"/>
          <w:szCs w:val="22"/>
        </w:rPr>
      </w:pPr>
      <w:r w:rsidRPr="00A62AA9">
        <w:rPr>
          <w:rFonts w:asciiTheme="minorHAnsi" w:hAnsiTheme="minorHAnsi" w:cstheme="minorHAnsi"/>
          <w:sz w:val="22"/>
          <w:szCs w:val="22"/>
        </w:rPr>
        <w:t>Renforcer la maturité commerciale et entrepreneuriale de la cohorte : traction commerciale, partenariats stratégiques, structuration financière et gouvernance ;</w:t>
      </w:r>
    </w:p>
    <w:p w14:paraId="12C5C86E" w14:textId="77777777" w:rsidR="00A62AA9" w:rsidRPr="00A62AA9" w:rsidRDefault="00A62AA9" w:rsidP="00A62AA9">
      <w:pPr>
        <w:pStyle w:val="Paragraphedeliste"/>
        <w:numPr>
          <w:ilvl w:val="0"/>
          <w:numId w:val="47"/>
        </w:numPr>
        <w:spacing w:after="60" w:line="276" w:lineRule="auto"/>
        <w:contextualSpacing w:val="0"/>
        <w:jc w:val="both"/>
        <w:rPr>
          <w:rFonts w:asciiTheme="minorHAnsi" w:hAnsiTheme="minorHAnsi" w:cstheme="minorHAnsi"/>
          <w:sz w:val="22"/>
          <w:szCs w:val="22"/>
        </w:rPr>
      </w:pPr>
      <w:r w:rsidRPr="00A62AA9">
        <w:rPr>
          <w:rFonts w:asciiTheme="minorHAnsi" w:hAnsiTheme="minorHAnsi" w:cstheme="minorHAnsi"/>
          <w:sz w:val="22"/>
          <w:szCs w:val="22"/>
        </w:rPr>
        <w:t>Préparer activement la cohorte à la levée de fonds : structuration des documents investisseurs (deck, business plan, prévisions, data room), préparation des entretiens, mobilisation d’un réseau d’investisseurs algériens et internationaux ;</w:t>
      </w:r>
    </w:p>
    <w:p w14:paraId="48A6D0FE" w14:textId="77777777" w:rsidR="00A62AA9" w:rsidRPr="00A62AA9" w:rsidRDefault="00A62AA9" w:rsidP="00A62AA9">
      <w:pPr>
        <w:pStyle w:val="Paragraphedeliste"/>
        <w:numPr>
          <w:ilvl w:val="0"/>
          <w:numId w:val="47"/>
        </w:numPr>
        <w:spacing w:after="60" w:line="276" w:lineRule="auto"/>
        <w:contextualSpacing w:val="0"/>
        <w:jc w:val="both"/>
        <w:rPr>
          <w:rFonts w:asciiTheme="minorHAnsi" w:hAnsiTheme="minorHAnsi" w:cstheme="minorHAnsi"/>
          <w:sz w:val="22"/>
          <w:szCs w:val="22"/>
        </w:rPr>
      </w:pPr>
      <w:r w:rsidRPr="00A62AA9">
        <w:rPr>
          <w:rFonts w:asciiTheme="minorHAnsi" w:hAnsiTheme="minorHAnsi" w:cstheme="minorHAnsi"/>
          <w:sz w:val="22"/>
          <w:szCs w:val="22"/>
        </w:rPr>
        <w:t>Exposer trois startups de la cohorte à un écosystème européen mature de l’économie bleue à travers un (1) ou deux (2) voyages d’étude (immersion, rencontres B2B, benchmarking, transferts de bonnes pratiques) ;</w:t>
      </w:r>
    </w:p>
    <w:p w14:paraId="42AC807B" w14:textId="77777777" w:rsidR="00A62AA9" w:rsidRPr="00A62AA9" w:rsidRDefault="00A62AA9" w:rsidP="00A62AA9">
      <w:pPr>
        <w:pStyle w:val="Paragraphedeliste"/>
        <w:numPr>
          <w:ilvl w:val="0"/>
          <w:numId w:val="47"/>
        </w:numPr>
        <w:spacing w:after="60" w:line="276" w:lineRule="auto"/>
        <w:contextualSpacing w:val="0"/>
        <w:jc w:val="both"/>
        <w:rPr>
          <w:rFonts w:asciiTheme="minorHAnsi" w:hAnsiTheme="minorHAnsi" w:cstheme="minorHAnsi"/>
          <w:sz w:val="22"/>
          <w:szCs w:val="22"/>
        </w:rPr>
      </w:pPr>
      <w:r w:rsidRPr="00A62AA9">
        <w:rPr>
          <w:rFonts w:asciiTheme="minorHAnsi" w:hAnsiTheme="minorHAnsi" w:cstheme="minorHAnsi"/>
          <w:sz w:val="22"/>
          <w:szCs w:val="22"/>
        </w:rPr>
        <w:t>Organiser un Démo Day mobilisant investisseurs, fonds, institutions financières et partenaires privés et publics, comme jalon de visibilité et de financement ;</w:t>
      </w:r>
    </w:p>
    <w:p w14:paraId="70428A63" w14:textId="6EC9D136" w:rsidR="00475709" w:rsidRDefault="00A62AA9" w:rsidP="00A62AA9">
      <w:pPr>
        <w:pStyle w:val="Paragraphedeliste"/>
        <w:numPr>
          <w:ilvl w:val="0"/>
          <w:numId w:val="47"/>
        </w:numPr>
        <w:jc w:val="both"/>
        <w:rPr>
          <w:rFonts w:asciiTheme="minorHAnsi" w:hAnsiTheme="minorHAnsi" w:cstheme="minorHAnsi"/>
          <w:sz w:val="22"/>
          <w:szCs w:val="22"/>
        </w:rPr>
      </w:pPr>
      <w:r w:rsidRPr="00A62AA9">
        <w:rPr>
          <w:rFonts w:asciiTheme="minorHAnsi" w:hAnsiTheme="minorHAnsi" w:cstheme="minorHAnsi"/>
          <w:sz w:val="22"/>
          <w:szCs w:val="22"/>
        </w:rPr>
        <w:t>Garantir un transfert structuré et documenté (méthodologie, outils, indicateurs) pour la pérennisation du dispositif à plus grande échelle</w:t>
      </w:r>
    </w:p>
    <w:p w14:paraId="0F21F99E" w14:textId="77777777" w:rsidR="00A62AA9" w:rsidRDefault="00A62AA9" w:rsidP="00A62AA9">
      <w:pPr>
        <w:jc w:val="both"/>
        <w:rPr>
          <w:rFonts w:asciiTheme="minorHAnsi" w:hAnsiTheme="minorHAnsi" w:cstheme="minorHAnsi"/>
          <w:sz w:val="22"/>
          <w:szCs w:val="22"/>
        </w:rPr>
      </w:pPr>
    </w:p>
    <w:p w14:paraId="5A14A3A0" w14:textId="77777777" w:rsidR="00A62AA9" w:rsidRPr="00A62AA9" w:rsidRDefault="00A62AA9" w:rsidP="00A62AA9">
      <w:pPr>
        <w:jc w:val="both"/>
        <w:rPr>
          <w:rFonts w:asciiTheme="minorHAnsi" w:hAnsiTheme="minorHAnsi" w:cstheme="minorHAnsi"/>
          <w:sz w:val="22"/>
          <w:szCs w:val="22"/>
        </w:rPr>
      </w:pPr>
    </w:p>
    <w:p w14:paraId="43C3EFA0" w14:textId="77777777" w:rsidR="00965444" w:rsidRDefault="00965444" w:rsidP="00965444">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Résultats à atteindre</w:t>
      </w:r>
    </w:p>
    <w:p w14:paraId="4ECCAA1C" w14:textId="77777777" w:rsidR="00965444" w:rsidRDefault="00965444" w:rsidP="00C85939">
      <w:pPr>
        <w:jc w:val="both"/>
        <w:rPr>
          <w:rFonts w:ascii="Calibri" w:hAnsi="Calibri"/>
          <w:sz w:val="22"/>
          <w:szCs w:val="22"/>
        </w:rPr>
      </w:pPr>
    </w:p>
    <w:p w14:paraId="56D68929"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b/>
          <w:bCs/>
          <w:sz w:val="22"/>
          <w:szCs w:val="22"/>
        </w:rPr>
        <w:t>Au niveau des startups accompagnées</w:t>
      </w:r>
    </w:p>
    <w:p w14:paraId="7F58D1D1"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100 % des startups formalisent une stratégie commerciale opérationnelle et disposent d’un pitch deck </w:t>
      </w:r>
      <w:proofErr w:type="spellStart"/>
      <w:r w:rsidRPr="00FE08AB">
        <w:rPr>
          <w:rFonts w:asciiTheme="minorHAnsi" w:hAnsiTheme="minorHAnsi" w:cstheme="minorHAnsi"/>
          <w:sz w:val="22"/>
          <w:szCs w:val="22"/>
        </w:rPr>
        <w:t>investor-ready</w:t>
      </w:r>
      <w:proofErr w:type="spellEnd"/>
      <w:r w:rsidRPr="00FE08AB">
        <w:rPr>
          <w:rFonts w:asciiTheme="minorHAnsi" w:hAnsiTheme="minorHAnsi" w:cstheme="minorHAnsi"/>
          <w:sz w:val="22"/>
          <w:szCs w:val="22"/>
        </w:rPr>
        <w:t xml:space="preserve"> à l’issue du programme ;</w:t>
      </w:r>
    </w:p>
    <w:p w14:paraId="0D763CA9"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Au moins 40 % des startups ont signé un premier contrat commercial, lettre d’intention ou </w:t>
      </w:r>
      <w:proofErr w:type="spellStart"/>
      <w:r w:rsidRPr="00FE08AB">
        <w:rPr>
          <w:rFonts w:asciiTheme="minorHAnsi" w:hAnsiTheme="minorHAnsi" w:cstheme="minorHAnsi"/>
          <w:sz w:val="22"/>
          <w:szCs w:val="22"/>
        </w:rPr>
        <w:t>MoU</w:t>
      </w:r>
      <w:proofErr w:type="spellEnd"/>
      <w:r w:rsidRPr="00FE08AB">
        <w:rPr>
          <w:rFonts w:asciiTheme="minorHAnsi" w:hAnsiTheme="minorHAnsi" w:cstheme="minorHAnsi"/>
          <w:sz w:val="22"/>
          <w:szCs w:val="22"/>
        </w:rPr>
        <w:t xml:space="preserve"> avec un client ou partenaire à l’issue du programme ;</w:t>
      </w:r>
    </w:p>
    <w:p w14:paraId="0C01CB15"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Au moins 25 % des startups ont engagé un processus actif de levée de fonds (entretiens investisseurs initiés, </w:t>
      </w:r>
      <w:proofErr w:type="spellStart"/>
      <w:r w:rsidRPr="00FE08AB">
        <w:rPr>
          <w:rFonts w:asciiTheme="minorHAnsi" w:hAnsiTheme="minorHAnsi" w:cstheme="minorHAnsi"/>
          <w:sz w:val="22"/>
          <w:szCs w:val="22"/>
        </w:rPr>
        <w:t>term-sheets</w:t>
      </w:r>
      <w:proofErr w:type="spellEnd"/>
      <w:r w:rsidRPr="00FE08AB">
        <w:rPr>
          <w:rFonts w:asciiTheme="minorHAnsi" w:hAnsiTheme="minorHAnsi" w:cstheme="minorHAnsi"/>
          <w:sz w:val="22"/>
          <w:szCs w:val="22"/>
        </w:rPr>
        <w:t xml:space="preserve"> en négociation) ;</w:t>
      </w:r>
    </w:p>
    <w:p w14:paraId="3BD89422"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100 % des startups nouent des contacts qualifiés avec des partenaires européens ; trois (3) startups, sélectionnées selon le processus prévu au point 4.5, participent au(x) voyage(s) d’étude en Europe ;</w:t>
      </w:r>
    </w:p>
    <w:p w14:paraId="7EB7BC55"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100 % de la cohorte est exposée à un réseau d’investisseurs et de partenaires lors du Démo Day ;</w:t>
      </w:r>
    </w:p>
    <w:p w14:paraId="69C0FCDE"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Les porteurs de projets non retenus à la sélection bénéficient d’un entretien d’orientation et sont orientés vers des dispositifs alternatifs.</w:t>
      </w:r>
    </w:p>
    <w:p w14:paraId="2BB1B162"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b/>
          <w:bCs/>
          <w:sz w:val="22"/>
          <w:szCs w:val="22"/>
        </w:rPr>
        <w:t>Au niveau du consortium prestataire</w:t>
      </w:r>
    </w:p>
    <w:p w14:paraId="5AEEC32F"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Un processus de </w:t>
      </w:r>
      <w:proofErr w:type="spellStart"/>
      <w:r w:rsidRPr="00FE08AB">
        <w:rPr>
          <w:rFonts w:asciiTheme="minorHAnsi" w:hAnsiTheme="minorHAnsi" w:cstheme="minorHAnsi"/>
          <w:sz w:val="22"/>
          <w:szCs w:val="22"/>
        </w:rPr>
        <w:t>sourcing</w:t>
      </w:r>
      <w:proofErr w:type="spellEnd"/>
      <w:r w:rsidRPr="00FE08AB">
        <w:rPr>
          <w:rFonts w:asciiTheme="minorHAnsi" w:hAnsiTheme="minorHAnsi" w:cstheme="minorHAnsi"/>
          <w:sz w:val="22"/>
          <w:szCs w:val="22"/>
        </w:rPr>
        <w:t xml:space="preserve"> et de sélection structuré et transparent a été mené ;</w:t>
      </w:r>
    </w:p>
    <w:p w14:paraId="14C2BFF6"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Un accompagnement personnalisé combinant formation collective, coaching individuel et mentorat sectoriel a été délivré ;</w:t>
      </w:r>
    </w:p>
    <w:p w14:paraId="0E4B0AB3"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Des outils et livrables transférables ont été produits pour chaque projet (pitch deck, business plan, plan d’action commercial, prévisions financières) ;</w:t>
      </w:r>
    </w:p>
    <w:p w14:paraId="6FE62FB2"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Un rapport de capitalisation stratégique a été produit, intégrant des recommandations opérationnelles pour la consolidation et le déploiement du dispositif.</w:t>
      </w:r>
    </w:p>
    <w:p w14:paraId="489E5F37" w14:textId="4D1918BB" w:rsidR="009236DE" w:rsidRPr="00966F8F" w:rsidRDefault="009236DE" w:rsidP="009236DE">
      <w:pPr>
        <w:jc w:val="both"/>
        <w:rPr>
          <w:rFonts w:ascii="Calibri" w:hAnsi="Calibri"/>
          <w:sz w:val="22"/>
          <w:szCs w:val="22"/>
        </w:rPr>
      </w:pPr>
    </w:p>
    <w:p w14:paraId="7EB79EF0" w14:textId="77777777" w:rsidR="00965444" w:rsidRDefault="00965444" w:rsidP="00C85939">
      <w:pPr>
        <w:jc w:val="both"/>
        <w:rPr>
          <w:rFonts w:ascii="Calibri" w:hAnsi="Calibri"/>
          <w:sz w:val="22"/>
          <w:szCs w:val="22"/>
        </w:rPr>
      </w:pPr>
    </w:p>
    <w:p w14:paraId="655954D9" w14:textId="77777777" w:rsidR="00AF63C1" w:rsidRDefault="00AF63C1" w:rsidP="00C85939">
      <w:pPr>
        <w:jc w:val="both"/>
        <w:rPr>
          <w:rFonts w:ascii="Calibri" w:hAnsi="Calibri"/>
          <w:sz w:val="22"/>
          <w:szCs w:val="22"/>
        </w:rPr>
      </w:pPr>
    </w:p>
    <w:p w14:paraId="2F18E5D2" w14:textId="77777777" w:rsidR="00965444" w:rsidRPr="00D15F32" w:rsidRDefault="00965444" w:rsidP="0096544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Description de la mission</w:t>
      </w:r>
    </w:p>
    <w:p w14:paraId="69356CB9" w14:textId="77777777" w:rsidR="00965444" w:rsidRPr="00D15F32" w:rsidRDefault="00965444" w:rsidP="00C85939">
      <w:pPr>
        <w:jc w:val="both"/>
        <w:rPr>
          <w:rFonts w:ascii="Calibri" w:hAnsi="Calibri"/>
          <w:sz w:val="22"/>
          <w:szCs w:val="22"/>
        </w:rPr>
      </w:pPr>
    </w:p>
    <w:p w14:paraId="4198E154" w14:textId="77777777" w:rsidR="001D27F6" w:rsidRPr="00D15F32" w:rsidRDefault="00965444" w:rsidP="00C85939">
      <w:pPr>
        <w:numPr>
          <w:ilvl w:val="1"/>
          <w:numId w:val="14"/>
        </w:numPr>
        <w:tabs>
          <w:tab w:val="num" w:pos="900"/>
        </w:tabs>
        <w:ind w:left="900"/>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Activités prévues</w:t>
      </w:r>
    </w:p>
    <w:p w14:paraId="2109317A" w14:textId="77777777" w:rsidR="00475709" w:rsidRDefault="00475709" w:rsidP="00C85939">
      <w:pPr>
        <w:tabs>
          <w:tab w:val="num" w:pos="900"/>
        </w:tabs>
        <w:ind w:left="900" w:hanging="360"/>
        <w:jc w:val="both"/>
        <w:rPr>
          <w:rFonts w:ascii="Calibri" w:hAnsi="Calibri"/>
          <w:sz w:val="22"/>
          <w:szCs w:val="22"/>
        </w:rPr>
      </w:pPr>
    </w:p>
    <w:p w14:paraId="78C8C151"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retenu aura la responsabilité de mettre en œuvre l’ensemble du dispositif, de l’identification des candidatures à la tenue du Démo Day final. Le déroulement de la mission se compose des phases suivantes.</w:t>
      </w:r>
    </w:p>
    <w:p w14:paraId="48AD279A" w14:textId="69933E1E" w:rsidR="00FE08AB" w:rsidRP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 xml:space="preserve">.1 </w:t>
      </w:r>
      <w:proofErr w:type="spellStart"/>
      <w:r w:rsidRPr="00FE08AB">
        <w:rPr>
          <w:rFonts w:asciiTheme="minorHAnsi" w:hAnsiTheme="minorHAnsi" w:cstheme="minorHAnsi"/>
          <w:sz w:val="22"/>
          <w:szCs w:val="22"/>
        </w:rPr>
        <w:t>Sourcing</w:t>
      </w:r>
      <w:proofErr w:type="spellEnd"/>
      <w:r w:rsidRPr="00FE08AB">
        <w:rPr>
          <w:rFonts w:asciiTheme="minorHAnsi" w:hAnsiTheme="minorHAnsi" w:cstheme="minorHAnsi"/>
          <w:sz w:val="22"/>
          <w:szCs w:val="22"/>
        </w:rPr>
        <w:t xml:space="preserve"> et identification des startups</w:t>
      </w:r>
    </w:p>
    <w:p w14:paraId="4BD6E0AC" w14:textId="1B7BAC5B"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 xml:space="preserve">Le consortium devra mobiliser un large vivier de candidats potentiels en s’appuyant prioritairement sur la base des candidatures qualifiées issue de la phase pilote 2025 (porteurs de projets ayant déposé un dossier en septembre 2025, dont les non-retenus prometteurs), ainsi que sur le réseau d’événements antérieurs du Programme (hackathons, journées EB, voyages d’étude). Une campagne </w:t>
      </w:r>
      <w:r w:rsidRPr="00FE08AB">
        <w:rPr>
          <w:rFonts w:asciiTheme="minorHAnsi" w:hAnsiTheme="minorHAnsi" w:cstheme="minorHAnsi"/>
          <w:sz w:val="22"/>
          <w:szCs w:val="22"/>
        </w:rPr>
        <w:lastRenderedPageBreak/>
        <w:t>de communication ciblée sera déployée dans les 14 wilayas du littoral pour assurer un maximum de candidatures qualifiées.</w:t>
      </w:r>
    </w:p>
    <w:p w14:paraId="0D760CEA" w14:textId="130B1DC1" w:rsidR="00FE08AB" w:rsidRP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.2 Sélection de la cohorte</w:t>
      </w:r>
    </w:p>
    <w:p w14:paraId="04DA2C1A"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devra élaborer un règlement d’appel à candidatures et un formulaire digitalisé, validés par le Programme Économie Bleue, et mettre en œuvre un processus de sélection structuré en trois (3) étapes :</w:t>
      </w:r>
    </w:p>
    <w:p w14:paraId="40DA92AC"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t>vérification</w:t>
      </w:r>
      <w:proofErr w:type="gramEnd"/>
      <w:r w:rsidRPr="00FE08AB">
        <w:rPr>
          <w:rFonts w:asciiTheme="minorHAnsi" w:hAnsiTheme="minorHAnsi" w:cstheme="minorHAnsi"/>
          <w:sz w:val="22"/>
          <w:szCs w:val="22"/>
        </w:rPr>
        <w:t xml:space="preserve"> de l’éligibilité (complétude du dossier, origine géographique du porteur, secteur d’activité, statut de l’entreprise) ;</w:t>
      </w:r>
    </w:p>
    <w:p w14:paraId="1C39B74A"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t>évaluation</w:t>
      </w:r>
      <w:proofErr w:type="gramEnd"/>
      <w:r w:rsidRPr="00FE08AB">
        <w:rPr>
          <w:rFonts w:asciiTheme="minorHAnsi" w:hAnsiTheme="minorHAnsi" w:cstheme="minorHAnsi"/>
          <w:sz w:val="22"/>
          <w:szCs w:val="22"/>
        </w:rPr>
        <w:t xml:space="preserve"> des dossiers à l’aide d’une grille de notation proposée et validée par le Programme, portant notamment sur la faisabilité du projet, sa maturité, son potentiel commercial et de levée de fonds, et son impact sur le développement économique et social du secteur EB ;</w:t>
      </w:r>
    </w:p>
    <w:p w14:paraId="6D394D73"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t>organisation</w:t>
      </w:r>
      <w:proofErr w:type="gramEnd"/>
      <w:r w:rsidRPr="00FE08AB">
        <w:rPr>
          <w:rFonts w:asciiTheme="minorHAnsi" w:hAnsiTheme="minorHAnsi" w:cstheme="minorHAnsi"/>
          <w:sz w:val="22"/>
          <w:szCs w:val="22"/>
        </w:rPr>
        <w:t xml:space="preserve"> de soutenances orales (</w:t>
      </w:r>
      <w:proofErr w:type="spellStart"/>
      <w:r w:rsidRPr="00FE08AB">
        <w:rPr>
          <w:rFonts w:asciiTheme="minorHAnsi" w:hAnsiTheme="minorHAnsi" w:cstheme="minorHAnsi"/>
          <w:sz w:val="22"/>
          <w:szCs w:val="22"/>
        </w:rPr>
        <w:t>pitchs</w:t>
      </w:r>
      <w:proofErr w:type="spellEnd"/>
      <w:r w:rsidRPr="00FE08AB">
        <w:rPr>
          <w:rFonts w:asciiTheme="minorHAnsi" w:hAnsiTheme="minorHAnsi" w:cstheme="minorHAnsi"/>
          <w:sz w:val="22"/>
          <w:szCs w:val="22"/>
        </w:rPr>
        <w:t>) pour les 15 à 20 meilleurs projets devant un jury composé de représentants du Programme, de partenaires institutionnels, du consortium et d’investisseurs.</w:t>
      </w:r>
    </w:p>
    <w:p w14:paraId="71599A72" w14:textId="2C8132C8"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La transparence du processus sera garantie par une double lecture des dossiers et la production de procès-verbaux. Les candidats non retenus se verront proposer des pistes d’accompagnement alternatives. Le jury sélectionnera, sur la base du système de notation, les huit (8) à dix (10) projets les mieux notés.</w:t>
      </w:r>
    </w:p>
    <w:p w14:paraId="15870C0A" w14:textId="7346278F" w:rsidR="00FE08AB" w:rsidRP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.3 Kick-off et contractualisation</w:t>
      </w:r>
    </w:p>
    <w:p w14:paraId="1C9B5539" w14:textId="65689A33"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devra procéder à la signature d’un contrat d’accompagnement individuel avec chacune des startups retenues, préalablement au démarrage du programme. Ce contrat précisera les activités détaillées, les responsabilités et engagements respectifs, le calendrier prévisionnel et les modalités d’accompagnement. Un kick-off collectif de la cohorte sera organisé pour cadrer le parcours, présenter les intervenants et formaliser les engagements.</w:t>
      </w:r>
    </w:p>
    <w:p w14:paraId="0E212195" w14:textId="3CFC41D6" w:rsidR="00FE08AB" w:rsidRP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.4 Programme d’accélération</w:t>
      </w:r>
    </w:p>
    <w:p w14:paraId="28121B9C"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devra mettre en œuvre un programme d’accélération intensif sur six (6) à sept (7) mois, structuré autour des objectifs suivants :</w:t>
      </w:r>
    </w:p>
    <w:p w14:paraId="59B9F847"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Consolider la proposition de valeur et la stratégie commerciale ;</w:t>
      </w:r>
    </w:p>
    <w:p w14:paraId="4E769602"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Accompagner la traction commerciale et la signature de premiers contrats ou partenariats ;</w:t>
      </w:r>
    </w:p>
    <w:p w14:paraId="366598E1"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Préparer la structuration financière et la stratégie de levée de fonds (deck, business plan, prévisions, data room) ;</w:t>
      </w:r>
    </w:p>
    <w:p w14:paraId="72A6B485"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Accompagner l’internationalisation et l’ouverture vers les marchés européens ;</w:t>
      </w:r>
    </w:p>
    <w:p w14:paraId="006848C8"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Développer les soft </w:t>
      </w:r>
      <w:proofErr w:type="spellStart"/>
      <w:r w:rsidRPr="00FE08AB">
        <w:rPr>
          <w:rFonts w:asciiTheme="minorHAnsi" w:hAnsiTheme="minorHAnsi" w:cstheme="minorHAnsi"/>
          <w:sz w:val="22"/>
          <w:szCs w:val="22"/>
        </w:rPr>
        <w:t>skills</w:t>
      </w:r>
      <w:proofErr w:type="spellEnd"/>
      <w:r w:rsidRPr="00FE08AB">
        <w:rPr>
          <w:rFonts w:asciiTheme="minorHAnsi" w:hAnsiTheme="minorHAnsi" w:cstheme="minorHAnsi"/>
          <w:sz w:val="22"/>
          <w:szCs w:val="22"/>
        </w:rPr>
        <w:t>, notamment la posture devant un investisseur et la conduite des entretiens financiers.</w:t>
      </w:r>
    </w:p>
    <w:p w14:paraId="3BBCDAE0"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L’accélération combinera obligatoirement les trois modalités suivantes : sessions collectives (formations thématiques), accompagnement individuel (coaching sur mesure, conseil stratégique) et mentorat sectoriel ciblé avec des experts sectoriels, locaux et internationaux. Le consortium mobilisera en complément des expertises pointues sur des thématiques spécialisées (juridique, fiscalité, propriété intellectuelle, finance, marketing, internationalisation) au bénéfice des startups en fonction de leurs besoins.</w:t>
      </w:r>
    </w:p>
    <w:p w14:paraId="59D37E1D" w14:textId="74D49C43"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lastRenderedPageBreak/>
        <w:t>L’offre du consortium devra présenter une méthodologie claire incluant le format, la fréquence et la durée des sessions, la logique pédagogique (articulation formation / coaching / mentorat) et le calendrier prévisionnel des étapes clés.</w:t>
      </w:r>
    </w:p>
    <w:p w14:paraId="219A09AF" w14:textId="6265C21C" w:rsidR="00FE08AB" w:rsidRP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.5 Voyages d’étude en Europe</w:t>
      </w:r>
    </w:p>
    <w:p w14:paraId="2D724EAD"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devra organiser un (1) ou deux (2) voyages d’étude à l’étranger, dans des pays européens hors France, durant la période de janvier à mars 2027. Ces voyages, conçus comme des temps forts du programme, viseront à exposer les trois startups sélectionnées à des écosystèmes matures de l’économie bleue (incubateurs / accélérateurs, fonds, structures de recherche appliquée, entreprises industrielles, clusters et pôles de compétitivité).</w:t>
      </w:r>
    </w:p>
    <w:p w14:paraId="1540FCFF"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Le(s) voyage(s) d’étude ne concernent pas l’ensemble de la cohorte : seules trois (3) startups y participent. Le consortium proposera et mettra en œuvre un processus de sélection dédié, transparent et documenté, reposant sur des critères à définir (par exemple maturité du projet, potentiel d’internationalisation, adéquation avec les écosystèmes ciblés, avancement de la démarche de levée de fonds) et soumis à la validation du Programme.</w:t>
      </w:r>
    </w:p>
    <w:p w14:paraId="79367450"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Chaque voyage devra inclure des rencontres B2B structurées avec des partenaires potentiels, des immersions dans des structures cibles, des sessions de benchmarking et de retours d’expérience, et un dispositif de capitalisation permettant à chaque startup d’identifier des contacts qualifiés exploitables au retour. Le consortium est responsable de la conception du programme, de l’identification et de la mobilisation des partenaires européens, de la logistique (visas, transports, hébergement, restauration) et de la préparation pédagogique amont des participants. Une note de cadrage des voyages sera produite et validée par le Programme.</w:t>
      </w:r>
    </w:p>
    <w:p w14:paraId="10D3C56C" w14:textId="34767E18"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Programme EB apportera son soutien au consortium dans la structuration et la mise en œuvre de ces voyages et prendra en charge les frais logistiques relatifs à leur organisation, à savoir les billets d’avion, l’hébergement et les per diem des participants ainsi que de deux (2) membres encadrants du consortium. Tout ce qui excède ce périmètre reste à la charge du consortium et doit être intégré à son offre financière.</w:t>
      </w:r>
    </w:p>
    <w:p w14:paraId="27496D0B" w14:textId="0B64E22C" w:rsidR="00FE08AB" w:rsidRP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.6 Démo Day et mobilisation d’investisseurs</w:t>
      </w:r>
    </w:p>
    <w:p w14:paraId="46E90A4D"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 xml:space="preserve">À l’issue de la phase d’accélération, le consortium devra concevoir et organiser un Démo Day final à Alger, en avril 2027, mobilisant investisseurs, fonds d’investissement, institutions financières, partenaires institutionnels et privés du secteur. Le format devra combiner </w:t>
      </w:r>
      <w:proofErr w:type="spellStart"/>
      <w:r w:rsidRPr="00FE08AB">
        <w:rPr>
          <w:rFonts w:asciiTheme="minorHAnsi" w:hAnsiTheme="minorHAnsi" w:cstheme="minorHAnsi"/>
          <w:sz w:val="22"/>
          <w:szCs w:val="22"/>
        </w:rPr>
        <w:t>pitchs</w:t>
      </w:r>
      <w:proofErr w:type="spellEnd"/>
      <w:r w:rsidRPr="00FE08AB">
        <w:rPr>
          <w:rFonts w:asciiTheme="minorHAnsi" w:hAnsiTheme="minorHAnsi" w:cstheme="minorHAnsi"/>
          <w:sz w:val="22"/>
          <w:szCs w:val="22"/>
        </w:rPr>
        <w:t xml:space="preserve"> de</w:t>
      </w:r>
      <w:r>
        <w:t xml:space="preserve"> </w:t>
      </w:r>
      <w:r w:rsidRPr="00FE08AB">
        <w:rPr>
          <w:rFonts w:asciiTheme="minorHAnsi" w:hAnsiTheme="minorHAnsi" w:cstheme="minorHAnsi"/>
          <w:sz w:val="22"/>
          <w:szCs w:val="22"/>
        </w:rPr>
        <w:t>la cohorte, tables rondes thématiques et séquences de networking structurées (speed-meeting investisseurs).</w:t>
      </w:r>
    </w:p>
    <w:p w14:paraId="3E7CCC1C" w14:textId="38457220"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 xml:space="preserve">Le consortium assurera la mobilisation active des invités-cibles, en s’appuyant sur son propre réseau, sur celui du Programme Économie Bleue et sur les partenaires institutionnels mobilisés. Une préparation approfondie des </w:t>
      </w:r>
      <w:proofErr w:type="spellStart"/>
      <w:r w:rsidRPr="00FE08AB">
        <w:rPr>
          <w:rFonts w:asciiTheme="minorHAnsi" w:hAnsiTheme="minorHAnsi" w:cstheme="minorHAnsi"/>
          <w:sz w:val="22"/>
          <w:szCs w:val="22"/>
        </w:rPr>
        <w:t>pitchs</w:t>
      </w:r>
      <w:proofErr w:type="spellEnd"/>
      <w:r w:rsidRPr="00FE08AB">
        <w:rPr>
          <w:rFonts w:asciiTheme="minorHAnsi" w:hAnsiTheme="minorHAnsi" w:cstheme="minorHAnsi"/>
          <w:sz w:val="22"/>
          <w:szCs w:val="22"/>
        </w:rPr>
        <w:t xml:space="preserve"> de la cohorte (coaching, répétitions, tests auprès d’experts) sera assurée en amont. Le consortium produira l’ensemble des supports de communication et coordonnera la participation des startups. Un recueil structuré des feedbacks des parties prenantes (investisseurs, partenaires, experts) sera réalisé à l’issue de l’événement.</w:t>
      </w:r>
    </w:p>
    <w:p w14:paraId="54AF2084" w14:textId="0DBF3C0C" w:rsidR="00FE08AB" w:rsidRDefault="00FE08AB" w:rsidP="00FE08AB">
      <w:pPr>
        <w:pStyle w:val="Titre2"/>
        <w:rPr>
          <w:rFonts w:asciiTheme="minorHAnsi" w:hAnsiTheme="minorHAnsi" w:cstheme="minorHAnsi"/>
          <w:sz w:val="22"/>
          <w:szCs w:val="22"/>
        </w:rPr>
      </w:pPr>
      <w:r>
        <w:rPr>
          <w:rFonts w:asciiTheme="minorHAnsi" w:hAnsiTheme="minorHAnsi" w:cstheme="minorHAnsi"/>
          <w:sz w:val="22"/>
          <w:szCs w:val="22"/>
        </w:rPr>
        <w:t>1</w:t>
      </w:r>
      <w:r w:rsidRPr="00FE08AB">
        <w:rPr>
          <w:rFonts w:asciiTheme="minorHAnsi" w:hAnsiTheme="minorHAnsi" w:cstheme="minorHAnsi"/>
          <w:sz w:val="22"/>
          <w:szCs w:val="22"/>
        </w:rPr>
        <w:t xml:space="preserve">.7 Suivi, </w:t>
      </w:r>
      <w:proofErr w:type="spellStart"/>
      <w:r w:rsidRPr="00FE08AB">
        <w:rPr>
          <w:rFonts w:asciiTheme="minorHAnsi" w:hAnsiTheme="minorHAnsi" w:cstheme="minorHAnsi"/>
          <w:sz w:val="22"/>
          <w:szCs w:val="22"/>
        </w:rPr>
        <w:t>reporting</w:t>
      </w:r>
      <w:proofErr w:type="spellEnd"/>
      <w:r w:rsidRPr="00FE08AB">
        <w:rPr>
          <w:rFonts w:asciiTheme="minorHAnsi" w:hAnsiTheme="minorHAnsi" w:cstheme="minorHAnsi"/>
          <w:sz w:val="22"/>
          <w:szCs w:val="22"/>
        </w:rPr>
        <w:t xml:space="preserve"> et capitalisation</w:t>
      </w:r>
    </w:p>
    <w:p w14:paraId="0D5D8119" w14:textId="77777777" w:rsidR="00FE08AB" w:rsidRPr="00FE08AB" w:rsidRDefault="00FE08AB" w:rsidP="00FE08AB"/>
    <w:p w14:paraId="5D7F59B1"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devra mettre en place un système de suivi et de documentation comprenant notamment :</w:t>
      </w:r>
    </w:p>
    <w:p w14:paraId="79A0D129"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lastRenderedPageBreak/>
        <w:t>des</w:t>
      </w:r>
      <w:proofErr w:type="gramEnd"/>
      <w:r w:rsidRPr="00FE08AB">
        <w:rPr>
          <w:rFonts w:asciiTheme="minorHAnsi" w:hAnsiTheme="minorHAnsi" w:cstheme="minorHAnsi"/>
          <w:sz w:val="22"/>
          <w:szCs w:val="22"/>
        </w:rPr>
        <w:t xml:space="preserve"> réunions mensuelles de coordination avec les équipes du Programme Économie Bleue ;</w:t>
      </w:r>
    </w:p>
    <w:p w14:paraId="29850762"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t>un</w:t>
      </w:r>
      <w:proofErr w:type="gramEnd"/>
      <w:r w:rsidRPr="00FE08AB">
        <w:rPr>
          <w:rFonts w:asciiTheme="minorHAnsi" w:hAnsiTheme="minorHAnsi" w:cstheme="minorHAnsi"/>
          <w:sz w:val="22"/>
          <w:szCs w:val="22"/>
        </w:rPr>
        <w:t xml:space="preserve"> suivi individuel des 8 à 10 startups (tableaux d’avancement, livrables produits, indicateurs d’impact) ;</w:t>
      </w:r>
    </w:p>
    <w:p w14:paraId="6F790D3F"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t>des</w:t>
      </w:r>
      <w:proofErr w:type="gramEnd"/>
      <w:r w:rsidRPr="00FE08AB">
        <w:rPr>
          <w:rFonts w:asciiTheme="minorHAnsi" w:hAnsiTheme="minorHAnsi" w:cstheme="minorHAnsi"/>
          <w:sz w:val="22"/>
          <w:szCs w:val="22"/>
        </w:rPr>
        <w:t xml:space="preserve"> rapports intermédiaires d’avancement à mi-parcours ;</w:t>
      </w:r>
    </w:p>
    <w:p w14:paraId="11FE1124"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proofErr w:type="gramStart"/>
      <w:r w:rsidRPr="00FE08AB">
        <w:rPr>
          <w:rFonts w:asciiTheme="minorHAnsi" w:hAnsiTheme="minorHAnsi" w:cstheme="minorHAnsi"/>
          <w:sz w:val="22"/>
          <w:szCs w:val="22"/>
        </w:rPr>
        <w:t>un</w:t>
      </w:r>
      <w:proofErr w:type="gramEnd"/>
      <w:r w:rsidRPr="00FE08AB">
        <w:rPr>
          <w:rFonts w:asciiTheme="minorHAnsi" w:hAnsiTheme="minorHAnsi" w:cstheme="minorHAnsi"/>
          <w:sz w:val="22"/>
          <w:szCs w:val="22"/>
        </w:rPr>
        <w:t xml:space="preserve"> rapport final de capitalisation intégrant retour d’expérience, recommandations, outils développés et proposition de modèle de pérennisation.</w:t>
      </w:r>
    </w:p>
    <w:p w14:paraId="209A1473" w14:textId="77777777" w:rsidR="007221B0" w:rsidRDefault="007221B0" w:rsidP="00932C58">
      <w:pPr>
        <w:jc w:val="both"/>
        <w:rPr>
          <w:rFonts w:ascii="Calibri" w:hAnsi="Calibri"/>
          <w:sz w:val="22"/>
          <w:szCs w:val="22"/>
        </w:rPr>
      </w:pPr>
    </w:p>
    <w:p w14:paraId="2BE17D43" w14:textId="77777777" w:rsidR="00965444" w:rsidRDefault="00965444" w:rsidP="00AF63C1">
      <w:pPr>
        <w:numPr>
          <w:ilvl w:val="1"/>
          <w:numId w:val="14"/>
        </w:numPr>
        <w:tabs>
          <w:tab w:val="num" w:pos="900"/>
        </w:tabs>
        <w:ind w:left="900"/>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Livrables</w:t>
      </w:r>
      <w:r w:rsidR="003A7507">
        <w:rPr>
          <w:rFonts w:ascii="Calibri" w:eastAsia="Arial Unicode MS" w:hAnsi="Calibri" w:cs="Arial Unicode MS"/>
          <w:b/>
          <w:sz w:val="22"/>
          <w:szCs w:val="22"/>
          <w:lang w:eastAsia="en-US"/>
        </w:rPr>
        <w:t xml:space="preserve"> attendus</w:t>
      </w:r>
    </w:p>
    <w:p w14:paraId="042F6D5E"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Tous les livrables seront transmis en version numérique (Word et PDF) et devront être rédigés en langue française. Des modèles ou canevas pourront être fournis par le Programme si nécessaire.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6099"/>
        <w:gridCol w:w="3119"/>
      </w:tblGrid>
      <w:tr w:rsidR="00FE08AB" w:rsidRPr="00FE08AB" w14:paraId="224FA985" w14:textId="77777777" w:rsidTr="00FE08AB">
        <w:trPr>
          <w:tblHeader/>
        </w:trPr>
        <w:tc>
          <w:tcPr>
            <w:tcW w:w="700" w:type="dxa"/>
            <w:tcBorders>
              <w:top w:val="single" w:sz="4" w:space="0" w:color="BFBFBF"/>
              <w:left w:val="single" w:sz="4" w:space="0" w:color="BFBFBF"/>
              <w:bottom w:val="single" w:sz="4" w:space="0" w:color="BFBFBF"/>
              <w:right w:val="single" w:sz="4" w:space="0" w:color="BFBFBF"/>
            </w:tcBorders>
            <w:shd w:val="clear" w:color="auto" w:fill="1F4E79"/>
            <w:tcMar>
              <w:top w:w="60" w:type="dxa"/>
              <w:left w:w="120" w:type="dxa"/>
              <w:bottom w:w="60" w:type="dxa"/>
              <w:right w:w="120" w:type="dxa"/>
            </w:tcMar>
          </w:tcPr>
          <w:p w14:paraId="2A835D02"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b/>
                <w:bCs/>
                <w:color w:val="FFFFFF"/>
                <w:sz w:val="20"/>
                <w:szCs w:val="20"/>
              </w:rPr>
              <w:t>Réf.</w:t>
            </w:r>
          </w:p>
        </w:tc>
        <w:tc>
          <w:tcPr>
            <w:tcW w:w="6099" w:type="dxa"/>
            <w:tcBorders>
              <w:top w:val="single" w:sz="4" w:space="0" w:color="BFBFBF"/>
              <w:left w:val="single" w:sz="4" w:space="0" w:color="BFBFBF"/>
              <w:bottom w:val="single" w:sz="4" w:space="0" w:color="BFBFBF"/>
              <w:right w:val="single" w:sz="4" w:space="0" w:color="BFBFBF"/>
            </w:tcBorders>
            <w:shd w:val="clear" w:color="auto" w:fill="1F4E79"/>
            <w:tcMar>
              <w:top w:w="60" w:type="dxa"/>
              <w:left w:w="120" w:type="dxa"/>
              <w:bottom w:w="60" w:type="dxa"/>
              <w:right w:w="120" w:type="dxa"/>
            </w:tcMar>
          </w:tcPr>
          <w:p w14:paraId="0C93CF80"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b/>
                <w:bCs/>
                <w:color w:val="FFFFFF"/>
                <w:sz w:val="20"/>
                <w:szCs w:val="20"/>
              </w:rPr>
              <w:t>Livrable</w:t>
            </w:r>
          </w:p>
        </w:tc>
        <w:tc>
          <w:tcPr>
            <w:tcW w:w="3119" w:type="dxa"/>
            <w:tcBorders>
              <w:top w:val="single" w:sz="4" w:space="0" w:color="BFBFBF"/>
              <w:left w:val="single" w:sz="4" w:space="0" w:color="BFBFBF"/>
              <w:bottom w:val="single" w:sz="4" w:space="0" w:color="BFBFBF"/>
              <w:right w:val="single" w:sz="4" w:space="0" w:color="BFBFBF"/>
            </w:tcBorders>
            <w:shd w:val="clear" w:color="auto" w:fill="1F4E79"/>
            <w:tcMar>
              <w:top w:w="60" w:type="dxa"/>
              <w:left w:w="120" w:type="dxa"/>
              <w:bottom w:w="60" w:type="dxa"/>
              <w:right w:w="120" w:type="dxa"/>
            </w:tcMar>
          </w:tcPr>
          <w:p w14:paraId="1D8C16B4"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b/>
                <w:bCs/>
                <w:color w:val="FFFFFF"/>
                <w:sz w:val="20"/>
                <w:szCs w:val="20"/>
              </w:rPr>
              <w:t>Date de livraison</w:t>
            </w:r>
          </w:p>
        </w:tc>
      </w:tr>
      <w:tr w:rsidR="00FE08AB" w:rsidRPr="00FE08AB" w14:paraId="548EFB4C"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65271AA5"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L.1</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8362926"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Note méthodologique décrivant le programme d’accélération, formulaire de candidature startups et grille d’évaluation</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0D55E49"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+ 10 jours : présentation lors de la réunion de lancement</w:t>
            </w:r>
          </w:p>
        </w:tc>
      </w:tr>
      <w:tr w:rsidR="00FE08AB" w:rsidRPr="00FE08AB" w14:paraId="4CF661AE"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0C4B7837"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L.2</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64F9525"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Rapport du processus global de sélection des startups, incluant les procès-verbaux des séances de sélection</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76198AFF"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+ 45 jours</w:t>
            </w:r>
          </w:p>
        </w:tc>
      </w:tr>
      <w:tr w:rsidR="00FE08AB" w:rsidRPr="00FE08AB" w14:paraId="5300ED0B"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230E3298"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L.3</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72B7B7A6"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Contrats d’accompagnement signés avec chaque startup, détaillant les actions prévues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0D0D519F"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+ 60 jours</w:t>
            </w:r>
          </w:p>
        </w:tc>
      </w:tr>
      <w:tr w:rsidR="00FE08AB" w:rsidRPr="00FE08AB" w14:paraId="282F7C14"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6592A63F"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L.4</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600A444"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Note de cadrage du (des) voyage(s) d’étude (destinations, partenaires identifiés, programme prévisionnel, logistique)</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1AA9554"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+ 5 mois</w:t>
            </w:r>
          </w:p>
        </w:tc>
      </w:tr>
      <w:tr w:rsidR="00FE08AB" w:rsidRPr="00FE08AB" w14:paraId="1916AA33"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40B7C676"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L.5</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6545635F"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Rapport intermédiaire d’avancement à mi-parcours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320230CB"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+ 5 mois</w:t>
            </w:r>
          </w:p>
        </w:tc>
      </w:tr>
      <w:tr w:rsidR="00FE08AB" w:rsidRPr="00FE08AB" w14:paraId="5D2E0812"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158C20D3"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L.6</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3BD3FE44"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Rapport(s) de capitalisation du (des) voyage(s) d’étude (un par voyage si 2)</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ECE58B5"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À l’issue de chaque voyage, au plus tard T0 + 8 mois</w:t>
            </w:r>
          </w:p>
        </w:tc>
      </w:tr>
      <w:tr w:rsidR="00FE08AB" w:rsidRPr="00FE08AB" w14:paraId="3287167E"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49F87F18"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L.7</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5D308C6A"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Programme détaillé, bilan et rapport d’analyse du Démo Day, incluant les contacts qualifiés générés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2A87B067"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+ 9 mois</w:t>
            </w:r>
          </w:p>
        </w:tc>
      </w:tr>
      <w:tr w:rsidR="00FE08AB" w:rsidRPr="00FE08AB" w14:paraId="3E7D405E" w14:textId="77777777" w:rsidTr="00FE08AB">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20" w:type="dxa"/>
              <w:bottom w:w="60" w:type="dxa"/>
              <w:right w:w="120" w:type="dxa"/>
            </w:tcMar>
          </w:tcPr>
          <w:p w14:paraId="0376A6A9" w14:textId="77777777" w:rsidR="00FE08AB" w:rsidRPr="00FE08AB" w:rsidRDefault="00FE08AB" w:rsidP="00B24BB7">
            <w:pPr>
              <w:spacing w:line="264" w:lineRule="auto"/>
              <w:jc w:val="center"/>
              <w:rPr>
                <w:rFonts w:asciiTheme="minorHAnsi" w:hAnsiTheme="minorHAnsi" w:cstheme="minorHAnsi"/>
                <w:sz w:val="20"/>
                <w:szCs w:val="20"/>
              </w:rPr>
            </w:pPr>
            <w:r w:rsidRPr="00FE08AB">
              <w:rPr>
                <w:rFonts w:asciiTheme="minorHAnsi" w:hAnsiTheme="minorHAnsi" w:cstheme="minorHAnsi"/>
                <w:b/>
                <w:bCs/>
                <w:sz w:val="20"/>
                <w:szCs w:val="20"/>
              </w:rPr>
              <w:t>L.8</w:t>
            </w:r>
          </w:p>
        </w:tc>
        <w:tc>
          <w:tcPr>
            <w:tcW w:w="609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79E44E6C"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Rapport final de capitalisation : bilan global, résultats par startup, recommandations, outils et modèles réplicables</w:t>
            </w:r>
          </w:p>
        </w:tc>
        <w:tc>
          <w:tcPr>
            <w:tcW w:w="3119" w:type="dxa"/>
            <w:tcBorders>
              <w:top w:val="single" w:sz="4" w:space="0" w:color="BFBFBF"/>
              <w:left w:val="single" w:sz="4" w:space="0" w:color="BFBFBF"/>
              <w:bottom w:val="single" w:sz="4" w:space="0" w:color="BFBFBF"/>
              <w:right w:val="single" w:sz="4" w:space="0" w:color="BFBFBF"/>
            </w:tcBorders>
            <w:tcMar>
              <w:top w:w="60" w:type="dxa"/>
              <w:left w:w="120" w:type="dxa"/>
              <w:bottom w:w="60" w:type="dxa"/>
              <w:right w:w="120" w:type="dxa"/>
            </w:tcMar>
          </w:tcPr>
          <w:p w14:paraId="46A18BCE" w14:textId="77777777" w:rsidR="00FE08AB" w:rsidRPr="00FE08AB" w:rsidRDefault="00FE08AB" w:rsidP="00B24BB7">
            <w:pPr>
              <w:spacing w:line="264" w:lineRule="auto"/>
              <w:rPr>
                <w:rFonts w:asciiTheme="minorHAnsi" w:hAnsiTheme="minorHAnsi" w:cstheme="minorHAnsi"/>
                <w:sz w:val="20"/>
                <w:szCs w:val="20"/>
              </w:rPr>
            </w:pPr>
            <w:r w:rsidRPr="00FE08AB">
              <w:rPr>
                <w:rFonts w:asciiTheme="minorHAnsi" w:hAnsiTheme="minorHAnsi" w:cstheme="minorHAnsi"/>
                <w:sz w:val="20"/>
                <w:szCs w:val="20"/>
              </w:rPr>
              <w:t>T0 + 10 mois</w:t>
            </w:r>
          </w:p>
        </w:tc>
      </w:tr>
    </w:tbl>
    <w:p w14:paraId="068BBA85" w14:textId="77777777" w:rsidR="00AF63C1" w:rsidRDefault="00AF63C1" w:rsidP="00E61983">
      <w:pPr>
        <w:jc w:val="both"/>
        <w:rPr>
          <w:rFonts w:ascii="Calibri" w:eastAsia="Arial Unicode MS" w:hAnsi="Calibri" w:cs="Arial Unicode MS"/>
          <w:b/>
          <w:sz w:val="22"/>
          <w:szCs w:val="22"/>
          <w:lang w:eastAsia="en-US"/>
        </w:rPr>
      </w:pPr>
    </w:p>
    <w:p w14:paraId="397F2D33" w14:textId="77777777" w:rsidR="00965444" w:rsidRPr="009236DE" w:rsidRDefault="00965444" w:rsidP="009236DE">
      <w:pPr>
        <w:numPr>
          <w:ilvl w:val="1"/>
          <w:numId w:val="14"/>
        </w:numPr>
        <w:tabs>
          <w:tab w:val="num" w:pos="900"/>
        </w:tabs>
        <w:ind w:left="900"/>
        <w:jc w:val="both"/>
        <w:rPr>
          <w:rFonts w:ascii="Calibri" w:eastAsia="Arial Unicode MS" w:hAnsi="Calibri" w:cs="Arial Unicode MS"/>
          <w:b/>
          <w:sz w:val="22"/>
          <w:szCs w:val="22"/>
          <w:lang w:eastAsia="en-US"/>
        </w:rPr>
      </w:pPr>
      <w:r w:rsidRPr="009236DE">
        <w:rPr>
          <w:rFonts w:ascii="Calibri" w:eastAsia="Arial Unicode MS" w:hAnsi="Calibri" w:cs="Arial Unicode MS"/>
          <w:b/>
          <w:sz w:val="22"/>
          <w:szCs w:val="22"/>
          <w:lang w:eastAsia="en-US"/>
        </w:rPr>
        <w:t xml:space="preserve">Coordination </w:t>
      </w:r>
    </w:p>
    <w:p w14:paraId="5EF5CFCC" w14:textId="77777777" w:rsidR="00965444" w:rsidRPr="009724D1" w:rsidRDefault="00965444" w:rsidP="009236DE">
      <w:pPr>
        <w:jc w:val="both"/>
        <w:rPr>
          <w:rFonts w:ascii="Calibri" w:hAnsi="Calibri"/>
          <w:sz w:val="22"/>
          <w:szCs w:val="22"/>
          <w:highlight w:val="cyan"/>
        </w:rPr>
      </w:pPr>
    </w:p>
    <w:p w14:paraId="332108AF" w14:textId="4FF7F6C1" w:rsidR="006B5831" w:rsidRDefault="009236DE" w:rsidP="00FE08AB">
      <w:pPr>
        <w:jc w:val="both"/>
        <w:rPr>
          <w:rFonts w:ascii="Calibri" w:hAnsi="Calibri"/>
          <w:sz w:val="22"/>
          <w:szCs w:val="22"/>
        </w:rPr>
      </w:pPr>
      <w:r w:rsidRPr="00966F8F">
        <w:rPr>
          <w:rFonts w:ascii="Calibri" w:hAnsi="Calibri"/>
          <w:sz w:val="22"/>
          <w:szCs w:val="22"/>
        </w:rPr>
        <w:t>L</w:t>
      </w:r>
      <w:r w:rsidR="00EF6139">
        <w:rPr>
          <w:rFonts w:ascii="Calibri" w:hAnsi="Calibri"/>
          <w:sz w:val="22"/>
          <w:szCs w:val="22"/>
        </w:rPr>
        <w:t>e prestataire désignera un interlocuteur unique pour la mise en œuvre de projet.</w:t>
      </w:r>
    </w:p>
    <w:p w14:paraId="43B2751D" w14:textId="77777777" w:rsidR="006B5831" w:rsidRDefault="006B5831" w:rsidP="009236DE">
      <w:pPr>
        <w:jc w:val="both"/>
        <w:rPr>
          <w:rFonts w:ascii="Calibri" w:hAnsi="Calibri"/>
          <w:sz w:val="22"/>
          <w:szCs w:val="22"/>
        </w:rPr>
      </w:pPr>
    </w:p>
    <w:p w14:paraId="4479B7B4" w14:textId="64DCAB65" w:rsidR="006B5831" w:rsidRDefault="006B5831" w:rsidP="009236DE">
      <w:pPr>
        <w:jc w:val="both"/>
        <w:rPr>
          <w:rFonts w:ascii="Calibri" w:hAnsi="Calibri"/>
          <w:sz w:val="22"/>
          <w:szCs w:val="22"/>
        </w:rPr>
      </w:pPr>
      <w:r>
        <w:rPr>
          <w:rFonts w:ascii="Calibri" w:hAnsi="Calibri"/>
          <w:sz w:val="22"/>
          <w:szCs w:val="22"/>
        </w:rPr>
        <w:t xml:space="preserve">Une réunion de lancement se tiendra </w:t>
      </w:r>
      <w:r w:rsidR="00FE08AB">
        <w:rPr>
          <w:rFonts w:ascii="Calibri" w:hAnsi="Calibri"/>
          <w:sz w:val="22"/>
          <w:szCs w:val="22"/>
        </w:rPr>
        <w:t>7</w:t>
      </w:r>
      <w:r>
        <w:rPr>
          <w:rFonts w:ascii="Calibri" w:hAnsi="Calibri"/>
          <w:sz w:val="22"/>
          <w:szCs w:val="22"/>
        </w:rPr>
        <w:t xml:space="preserve"> jours après la notification du contrat.</w:t>
      </w:r>
    </w:p>
    <w:p w14:paraId="683544B8" w14:textId="4A0E5638" w:rsidR="009236DE" w:rsidRPr="00966F8F" w:rsidRDefault="009236DE" w:rsidP="009236DE">
      <w:pPr>
        <w:jc w:val="both"/>
        <w:rPr>
          <w:rFonts w:ascii="Calibri" w:hAnsi="Calibri"/>
          <w:sz w:val="22"/>
          <w:szCs w:val="22"/>
        </w:rPr>
      </w:pPr>
      <w:r w:rsidRPr="00F67012">
        <w:rPr>
          <w:rFonts w:ascii="Calibri" w:hAnsi="Calibri"/>
          <w:sz w:val="22"/>
          <w:szCs w:val="22"/>
        </w:rPr>
        <w:t>Une coordination étroite avec l</w:t>
      </w:r>
      <w:r w:rsidR="0076221F">
        <w:rPr>
          <w:rFonts w:ascii="Calibri" w:hAnsi="Calibri"/>
          <w:sz w:val="22"/>
          <w:szCs w:val="22"/>
        </w:rPr>
        <w:t xml:space="preserve">es </w:t>
      </w:r>
      <w:r w:rsidR="00164B49" w:rsidRPr="00F67012">
        <w:rPr>
          <w:rFonts w:ascii="Calibri" w:hAnsi="Calibri"/>
          <w:sz w:val="22"/>
          <w:szCs w:val="22"/>
        </w:rPr>
        <w:t>équipe</w:t>
      </w:r>
      <w:r w:rsidR="00164B49">
        <w:rPr>
          <w:rFonts w:ascii="Calibri" w:hAnsi="Calibri"/>
          <w:sz w:val="22"/>
          <w:szCs w:val="22"/>
        </w:rPr>
        <w:t>s</w:t>
      </w:r>
      <w:r w:rsidR="00164B49" w:rsidRPr="00F67012">
        <w:rPr>
          <w:rFonts w:ascii="Calibri" w:hAnsi="Calibri"/>
          <w:sz w:val="22"/>
          <w:szCs w:val="22"/>
        </w:rPr>
        <w:t xml:space="preserve"> devr</w:t>
      </w:r>
      <w:r w:rsidR="00164B49">
        <w:rPr>
          <w:rFonts w:ascii="Calibri" w:hAnsi="Calibri"/>
          <w:sz w:val="22"/>
          <w:szCs w:val="22"/>
        </w:rPr>
        <w:t>a</w:t>
      </w:r>
      <w:r w:rsidRPr="00F67012">
        <w:rPr>
          <w:rFonts w:ascii="Calibri" w:hAnsi="Calibri"/>
          <w:sz w:val="22"/>
          <w:szCs w:val="22"/>
        </w:rPr>
        <w:t xml:space="preserve"> impérativement être mise en place dès la préparation de</w:t>
      </w:r>
      <w:r w:rsidR="0076221F">
        <w:rPr>
          <w:rFonts w:ascii="Calibri" w:hAnsi="Calibri"/>
          <w:sz w:val="22"/>
          <w:szCs w:val="22"/>
        </w:rPr>
        <w:t>s</w:t>
      </w:r>
      <w:r w:rsidRPr="00F67012">
        <w:rPr>
          <w:rFonts w:ascii="Calibri" w:hAnsi="Calibri"/>
          <w:sz w:val="22"/>
          <w:szCs w:val="22"/>
        </w:rPr>
        <w:t xml:space="preserve"> mission</w:t>
      </w:r>
      <w:r w:rsidR="0076221F">
        <w:rPr>
          <w:rFonts w:ascii="Calibri" w:hAnsi="Calibri"/>
          <w:sz w:val="22"/>
          <w:szCs w:val="22"/>
        </w:rPr>
        <w:t>s</w:t>
      </w:r>
      <w:r w:rsidRPr="00F67012">
        <w:rPr>
          <w:rFonts w:ascii="Calibri" w:hAnsi="Calibri"/>
          <w:sz w:val="22"/>
          <w:szCs w:val="22"/>
        </w:rPr>
        <w:t xml:space="preserve"> et jusqu’à </w:t>
      </w:r>
      <w:r w:rsidR="0076221F">
        <w:rPr>
          <w:rFonts w:ascii="Calibri" w:hAnsi="Calibri"/>
          <w:sz w:val="22"/>
          <w:szCs w:val="22"/>
        </w:rPr>
        <w:t>leur</w:t>
      </w:r>
      <w:r w:rsidRPr="00F67012">
        <w:rPr>
          <w:rFonts w:ascii="Calibri" w:hAnsi="Calibri"/>
          <w:sz w:val="22"/>
          <w:szCs w:val="22"/>
        </w:rPr>
        <w:t xml:space="preserve"> finalisation. </w:t>
      </w:r>
    </w:p>
    <w:p w14:paraId="5E9A3BF5" w14:textId="77777777" w:rsidR="003A7507" w:rsidRDefault="003A7507" w:rsidP="009236DE">
      <w:pPr>
        <w:jc w:val="both"/>
        <w:rPr>
          <w:rFonts w:ascii="Calibri" w:hAnsi="Calibri"/>
          <w:sz w:val="22"/>
          <w:szCs w:val="22"/>
        </w:rPr>
      </w:pPr>
    </w:p>
    <w:p w14:paraId="5DFAFC2C" w14:textId="77777777" w:rsidR="003A7507" w:rsidRPr="00D15F32" w:rsidRDefault="003A7507" w:rsidP="003A7507">
      <w:pPr>
        <w:rPr>
          <w:rFonts w:ascii="Calibri" w:hAnsi="Calibri"/>
          <w:sz w:val="22"/>
          <w:szCs w:val="22"/>
        </w:rPr>
      </w:pPr>
    </w:p>
    <w:p w14:paraId="00A8F97B" w14:textId="77777777" w:rsidR="003A7507" w:rsidRPr="00D15F32" w:rsidRDefault="003A7507" w:rsidP="003A7507">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Lieu, Durée et Modalités d’exécution</w:t>
      </w:r>
    </w:p>
    <w:p w14:paraId="6D77A0D3" w14:textId="77777777" w:rsidR="003A7507" w:rsidRDefault="003A7507" w:rsidP="003A7507">
      <w:pPr>
        <w:rPr>
          <w:rFonts w:ascii="Calibri" w:hAnsi="Calibri"/>
          <w:sz w:val="22"/>
          <w:szCs w:val="22"/>
          <w:highlight w:val="cyan"/>
        </w:rPr>
      </w:pPr>
    </w:p>
    <w:p w14:paraId="2161A0E3" w14:textId="1111C1C6" w:rsidR="003A7507" w:rsidRPr="00AF63C1" w:rsidRDefault="003A7507" w:rsidP="003A7507">
      <w:pPr>
        <w:numPr>
          <w:ilvl w:val="1"/>
          <w:numId w:val="14"/>
        </w:numPr>
        <w:tabs>
          <w:tab w:val="num" w:pos="900"/>
        </w:tabs>
        <w:ind w:left="900"/>
        <w:rPr>
          <w:rFonts w:ascii="Calibri" w:eastAsia="Arial Unicode MS" w:hAnsi="Calibri" w:cs="Arial Unicode MS"/>
          <w:b/>
          <w:sz w:val="22"/>
          <w:szCs w:val="22"/>
          <w:lang w:eastAsia="en-US"/>
        </w:rPr>
      </w:pPr>
      <w:r w:rsidRPr="00AF63C1">
        <w:rPr>
          <w:rFonts w:ascii="Calibri" w:eastAsia="Arial Unicode MS" w:hAnsi="Calibri" w:cs="Arial Unicode MS"/>
          <w:b/>
          <w:sz w:val="22"/>
          <w:szCs w:val="22"/>
          <w:lang w:eastAsia="en-US"/>
        </w:rPr>
        <w:t xml:space="preserve">Période de mise en œuvre : </w:t>
      </w:r>
      <w:r w:rsidR="00FE08AB">
        <w:rPr>
          <w:rFonts w:ascii="Calibri" w:eastAsia="Arial Unicode MS" w:hAnsi="Calibri" w:cs="Arial Unicode MS"/>
          <w:b/>
          <w:sz w:val="22"/>
          <w:szCs w:val="22"/>
          <w:lang w:eastAsia="en-US"/>
        </w:rPr>
        <w:t>08/2026 – 08/2027</w:t>
      </w:r>
    </w:p>
    <w:p w14:paraId="3965E893" w14:textId="77777777" w:rsidR="003A7507" w:rsidRPr="00AF63C1" w:rsidRDefault="003A7507" w:rsidP="003A7507">
      <w:pPr>
        <w:ind w:left="1080"/>
        <w:rPr>
          <w:rFonts w:ascii="Calibri" w:hAnsi="Calibri"/>
          <w:sz w:val="22"/>
          <w:szCs w:val="22"/>
        </w:rPr>
      </w:pPr>
    </w:p>
    <w:p w14:paraId="15982D84" w14:textId="2A2870E9" w:rsidR="003A7507" w:rsidRPr="00AC0DEF" w:rsidRDefault="003A7507" w:rsidP="003A7507">
      <w:pPr>
        <w:numPr>
          <w:ilvl w:val="1"/>
          <w:numId w:val="14"/>
        </w:numPr>
        <w:tabs>
          <w:tab w:val="num" w:pos="900"/>
        </w:tabs>
        <w:ind w:left="900"/>
        <w:jc w:val="both"/>
        <w:rPr>
          <w:rFonts w:ascii="Calibri" w:hAnsi="Calibri"/>
          <w:sz w:val="22"/>
          <w:szCs w:val="22"/>
        </w:rPr>
      </w:pPr>
      <w:r w:rsidRPr="00AC0DEF">
        <w:rPr>
          <w:rFonts w:ascii="Calibri" w:eastAsia="Arial Unicode MS" w:hAnsi="Calibri" w:cs="Arial Unicode MS"/>
          <w:b/>
          <w:sz w:val="22"/>
          <w:szCs w:val="22"/>
          <w:lang w:eastAsia="en-US"/>
        </w:rPr>
        <w:t>Date de démarrage :</w:t>
      </w:r>
      <w:r w:rsidR="00060146" w:rsidRPr="00AC0DEF">
        <w:rPr>
          <w:rFonts w:ascii="Calibri" w:eastAsia="Arial Unicode MS" w:hAnsi="Calibri" w:cs="Arial Unicode MS"/>
          <w:b/>
          <w:sz w:val="22"/>
          <w:szCs w:val="22"/>
          <w:lang w:eastAsia="en-US"/>
        </w:rPr>
        <w:t xml:space="preserve"> </w:t>
      </w:r>
      <w:r w:rsidR="00FE08AB">
        <w:rPr>
          <w:rFonts w:ascii="Calibri" w:eastAsia="Arial Unicode MS" w:hAnsi="Calibri" w:cs="Arial Unicode MS"/>
          <w:b/>
          <w:sz w:val="22"/>
          <w:szCs w:val="22"/>
          <w:lang w:eastAsia="en-US"/>
        </w:rPr>
        <w:t>08/2026</w:t>
      </w:r>
    </w:p>
    <w:p w14:paraId="68133FA5" w14:textId="77777777" w:rsidR="006B5831" w:rsidRPr="00FE08AB" w:rsidRDefault="006B5831" w:rsidP="00FE08AB">
      <w:pPr>
        <w:rPr>
          <w:rFonts w:ascii="Calibri" w:hAnsi="Calibri"/>
          <w:sz w:val="22"/>
          <w:szCs w:val="22"/>
        </w:rPr>
      </w:pPr>
    </w:p>
    <w:p w14:paraId="7E6C9111" w14:textId="3B48A035" w:rsidR="003A7507" w:rsidRPr="006B5831" w:rsidRDefault="003A7507" w:rsidP="00B46229">
      <w:pPr>
        <w:numPr>
          <w:ilvl w:val="1"/>
          <w:numId w:val="14"/>
        </w:numPr>
        <w:tabs>
          <w:tab w:val="num" w:pos="900"/>
        </w:tabs>
        <w:ind w:left="900"/>
        <w:jc w:val="both"/>
        <w:rPr>
          <w:rFonts w:ascii="Calibri" w:hAnsi="Calibri"/>
          <w:sz w:val="22"/>
          <w:szCs w:val="22"/>
        </w:rPr>
      </w:pPr>
      <w:r w:rsidRPr="00257A40">
        <w:rPr>
          <w:rFonts w:ascii="Calibri" w:eastAsia="Arial Unicode MS" w:hAnsi="Calibri" w:cs="Arial Unicode MS"/>
          <w:b/>
          <w:sz w:val="22"/>
          <w:szCs w:val="22"/>
          <w:lang w:eastAsia="en-US"/>
        </w:rPr>
        <w:lastRenderedPageBreak/>
        <w:t>Durée effective</w:t>
      </w:r>
      <w:r w:rsidR="00BB0137" w:rsidRPr="00257A40">
        <w:rPr>
          <w:rFonts w:ascii="Calibri" w:eastAsia="Arial Unicode MS" w:hAnsi="Calibri" w:cs="Arial Unicode MS"/>
          <w:b/>
          <w:sz w:val="22"/>
          <w:szCs w:val="22"/>
          <w:lang w:eastAsia="en-US"/>
        </w:rPr>
        <w:t xml:space="preserve"> par mission</w:t>
      </w:r>
      <w:r w:rsidRPr="00257A40">
        <w:rPr>
          <w:rFonts w:ascii="Calibri" w:eastAsia="Arial Unicode MS" w:hAnsi="Calibri" w:cs="Arial Unicode MS"/>
          <w:b/>
          <w:sz w:val="22"/>
          <w:szCs w:val="22"/>
          <w:lang w:eastAsia="en-US"/>
        </w:rPr>
        <w:t> :</w:t>
      </w:r>
      <w:r w:rsidR="00FE08AB">
        <w:rPr>
          <w:rFonts w:ascii="Calibri" w:eastAsia="Arial Unicode MS" w:hAnsi="Calibri" w:cs="Arial Unicode MS"/>
          <w:b/>
          <w:sz w:val="22"/>
          <w:szCs w:val="22"/>
          <w:lang w:eastAsia="en-US"/>
        </w:rPr>
        <w:t xml:space="preserve"> 1</w:t>
      </w:r>
      <w:r w:rsidR="00240029">
        <w:rPr>
          <w:rFonts w:ascii="Calibri" w:eastAsia="Arial Unicode MS" w:hAnsi="Calibri" w:cs="Arial Unicode MS"/>
          <w:b/>
          <w:sz w:val="22"/>
          <w:szCs w:val="22"/>
          <w:lang w:eastAsia="en-US"/>
        </w:rPr>
        <w:t>0 mois</w:t>
      </w:r>
    </w:p>
    <w:p w14:paraId="05A36279" w14:textId="77777777" w:rsidR="006B5831" w:rsidRDefault="006B5831" w:rsidP="006B5831">
      <w:pPr>
        <w:pStyle w:val="Paragraphedeliste"/>
        <w:rPr>
          <w:rFonts w:ascii="Calibri" w:hAnsi="Calibri"/>
          <w:sz w:val="22"/>
          <w:szCs w:val="22"/>
        </w:rPr>
      </w:pPr>
    </w:p>
    <w:p w14:paraId="2606381B" w14:textId="77777777" w:rsidR="003A7507" w:rsidRPr="00D15F32" w:rsidRDefault="003A7507" w:rsidP="003A7507">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 xml:space="preserve">Planning/calendrier : </w:t>
      </w:r>
    </w:p>
    <w:p w14:paraId="57A33242" w14:textId="77777777" w:rsidR="003A7507" w:rsidRPr="00D15F32" w:rsidRDefault="003A7507" w:rsidP="003A7507">
      <w:pPr>
        <w:jc w:val="both"/>
        <w:rPr>
          <w:rFonts w:ascii="Calibri" w:hAnsi="Calibri"/>
          <w:sz w:val="22"/>
          <w:szCs w:val="22"/>
        </w:rPr>
      </w:pPr>
    </w:p>
    <w:p w14:paraId="2ACBEEA3" w14:textId="77777777" w:rsidR="003A7507" w:rsidRPr="00D15F32" w:rsidRDefault="003A7507" w:rsidP="003A7507">
      <w:pPr>
        <w:jc w:val="both"/>
        <w:rPr>
          <w:rFonts w:ascii="Calibri" w:hAnsi="Calibri"/>
          <w:i/>
          <w:sz w:val="22"/>
          <w:szCs w:val="22"/>
        </w:rPr>
      </w:pPr>
      <w:r w:rsidRPr="00D15F32">
        <w:rPr>
          <w:rFonts w:ascii="Calibri" w:hAnsi="Calibri"/>
          <w:i/>
          <w:sz w:val="22"/>
          <w:szCs w:val="22"/>
        </w:rPr>
        <w:t>Le calendrier prévisionnel d’exécution des missions se présente comme suit :</w:t>
      </w:r>
    </w:p>
    <w:p w14:paraId="6C8EA2D4" w14:textId="77777777" w:rsidR="009236DE" w:rsidRPr="00D15F32" w:rsidRDefault="009236DE" w:rsidP="009236DE">
      <w:pPr>
        <w:tabs>
          <w:tab w:val="left" w:pos="2145"/>
        </w:tabs>
        <w:rPr>
          <w:rFonts w:ascii="Calibri" w:hAnsi="Calibri"/>
          <w:sz w:val="22"/>
          <w:szCs w:val="22"/>
        </w:rPr>
      </w:pPr>
      <w:r>
        <w:rPr>
          <w:rFonts w:ascii="Calibri" w:hAnsi="Calibri"/>
          <w:sz w:val="22"/>
          <w:szCs w:val="22"/>
        </w:rPr>
        <w:tab/>
      </w:r>
    </w:p>
    <w:tbl>
      <w:tblPr>
        <w:tblStyle w:val="Grilledutableau1"/>
        <w:tblW w:w="0" w:type="auto"/>
        <w:jc w:val="center"/>
        <w:tblLook w:val="04A0" w:firstRow="1" w:lastRow="0" w:firstColumn="1" w:lastColumn="0" w:noHBand="0" w:noVBand="1"/>
      </w:tblPr>
      <w:tblGrid>
        <w:gridCol w:w="3998"/>
        <w:gridCol w:w="1134"/>
        <w:gridCol w:w="1134"/>
        <w:gridCol w:w="1361"/>
        <w:gridCol w:w="1361"/>
      </w:tblGrid>
      <w:tr w:rsidR="00A549E0" w:rsidRPr="00AC0DEF" w14:paraId="34B37B3D" w14:textId="77777777" w:rsidTr="004B4F74">
        <w:trPr>
          <w:trHeight w:val="288"/>
          <w:jc w:val="center"/>
        </w:trPr>
        <w:tc>
          <w:tcPr>
            <w:tcW w:w="3998" w:type="dxa"/>
            <w:tcBorders>
              <w:bottom w:val="nil"/>
            </w:tcBorders>
            <w:shd w:val="clear" w:color="auto" w:fill="D9D9D9" w:themeFill="background1" w:themeFillShade="D9"/>
          </w:tcPr>
          <w:p w14:paraId="37098106" w14:textId="77777777" w:rsidR="00A549E0" w:rsidRPr="00AC0DEF" w:rsidRDefault="00A549E0" w:rsidP="00A549E0">
            <w:pPr>
              <w:jc w:val="center"/>
              <w:rPr>
                <w:rFonts w:ascii="Calibri" w:eastAsia="Times New Roman" w:hAnsi="Calibri" w:cs="Times New Roman"/>
                <w:b/>
                <w:lang w:eastAsia="fr-FR"/>
              </w:rPr>
            </w:pPr>
            <w:r w:rsidRPr="00AC0DEF">
              <w:rPr>
                <w:rFonts w:ascii="Calibri" w:eastAsia="Times New Roman" w:hAnsi="Calibri" w:cs="Times New Roman"/>
                <w:b/>
                <w:lang w:eastAsia="fr-FR"/>
              </w:rPr>
              <w:t>Activités</w:t>
            </w:r>
          </w:p>
        </w:tc>
        <w:tc>
          <w:tcPr>
            <w:tcW w:w="1134" w:type="dxa"/>
            <w:vMerge w:val="restart"/>
            <w:shd w:val="clear" w:color="auto" w:fill="D9D9D9" w:themeFill="background1" w:themeFillShade="D9"/>
          </w:tcPr>
          <w:p w14:paraId="02A78D23" w14:textId="77777777" w:rsidR="00A549E0" w:rsidRPr="00D4352B" w:rsidRDefault="00A549E0" w:rsidP="007B7543">
            <w:pPr>
              <w:jc w:val="center"/>
              <w:rPr>
                <w:rFonts w:ascii="Calibri" w:hAnsi="Calibri"/>
                <w:b/>
              </w:rPr>
            </w:pPr>
            <w:r w:rsidRPr="00D4352B">
              <w:rPr>
                <w:rFonts w:ascii="Calibri" w:hAnsi="Calibri"/>
                <w:b/>
              </w:rPr>
              <w:t>Lieu</w:t>
            </w:r>
          </w:p>
        </w:tc>
        <w:tc>
          <w:tcPr>
            <w:tcW w:w="1134" w:type="dxa"/>
            <w:vMerge w:val="restart"/>
            <w:shd w:val="clear" w:color="auto" w:fill="D9D9D9" w:themeFill="background1" w:themeFillShade="D9"/>
          </w:tcPr>
          <w:p w14:paraId="70DE35E7" w14:textId="77777777" w:rsidR="00A549E0" w:rsidRPr="00D4352B" w:rsidRDefault="00A549E0" w:rsidP="007B7543">
            <w:pPr>
              <w:jc w:val="center"/>
              <w:rPr>
                <w:rFonts w:ascii="Calibri" w:hAnsi="Calibri"/>
                <w:b/>
              </w:rPr>
            </w:pPr>
            <w:r w:rsidRPr="00D4352B">
              <w:rPr>
                <w:rFonts w:ascii="Calibri" w:hAnsi="Calibri"/>
                <w:b/>
              </w:rPr>
              <w:t>Période</w:t>
            </w:r>
          </w:p>
        </w:tc>
        <w:tc>
          <w:tcPr>
            <w:tcW w:w="1361" w:type="dxa"/>
            <w:vMerge w:val="restart"/>
            <w:shd w:val="clear" w:color="auto" w:fill="D9D9D9" w:themeFill="background1" w:themeFillShade="D9"/>
          </w:tcPr>
          <w:p w14:paraId="17C6D5FC" w14:textId="77777777" w:rsidR="00A549E0" w:rsidRPr="00D4352B" w:rsidRDefault="00A549E0" w:rsidP="00A549E0">
            <w:pPr>
              <w:jc w:val="center"/>
              <w:rPr>
                <w:rFonts w:ascii="Calibri" w:hAnsi="Calibri"/>
                <w:b/>
              </w:rPr>
            </w:pPr>
            <w:r w:rsidRPr="00D4352B">
              <w:rPr>
                <w:rFonts w:ascii="Calibri" w:hAnsi="Calibri"/>
                <w:b/>
              </w:rPr>
              <w:t>Durée (H/J)</w:t>
            </w:r>
          </w:p>
          <w:p w14:paraId="420BE0B7" w14:textId="77777777" w:rsidR="00A549E0" w:rsidRPr="00AC0DEF" w:rsidRDefault="00A549E0" w:rsidP="00A549E0">
            <w:pPr>
              <w:spacing w:line="276" w:lineRule="auto"/>
              <w:jc w:val="center"/>
              <w:rPr>
                <w:rFonts w:ascii="Calibri" w:eastAsia="Times New Roman" w:hAnsi="Calibri" w:cs="Times New Roman"/>
                <w:b/>
                <w:lang w:eastAsia="fr-FR"/>
              </w:rPr>
            </w:pPr>
            <w:r w:rsidRPr="00D4352B">
              <w:rPr>
                <w:rFonts w:ascii="Calibri" w:hAnsi="Calibri"/>
                <w:b/>
              </w:rPr>
              <w:t>Expert 1 :</w:t>
            </w:r>
          </w:p>
        </w:tc>
        <w:tc>
          <w:tcPr>
            <w:tcW w:w="1361" w:type="dxa"/>
            <w:vMerge w:val="restart"/>
            <w:shd w:val="clear" w:color="auto" w:fill="D9D9D9" w:themeFill="background1" w:themeFillShade="D9"/>
          </w:tcPr>
          <w:p w14:paraId="31FF92E7" w14:textId="1B1F6FDD" w:rsidR="00A549E0" w:rsidRPr="00AC0DEF" w:rsidRDefault="00A549E0" w:rsidP="00A549E0">
            <w:pPr>
              <w:spacing w:line="276" w:lineRule="auto"/>
              <w:jc w:val="center"/>
              <w:rPr>
                <w:rFonts w:ascii="Calibri" w:eastAsia="Times New Roman" w:hAnsi="Calibri" w:cs="Times New Roman"/>
                <w:b/>
                <w:lang w:eastAsia="fr-FR"/>
              </w:rPr>
            </w:pPr>
          </w:p>
        </w:tc>
      </w:tr>
      <w:tr w:rsidR="00A549E0" w:rsidRPr="00AC0DEF" w14:paraId="588506C0" w14:textId="77777777" w:rsidTr="004B4F74">
        <w:trPr>
          <w:trHeight w:val="81"/>
          <w:jc w:val="center"/>
        </w:trPr>
        <w:tc>
          <w:tcPr>
            <w:tcW w:w="3998" w:type="dxa"/>
            <w:tcBorders>
              <w:top w:val="nil"/>
            </w:tcBorders>
            <w:shd w:val="clear" w:color="auto" w:fill="D9D9D9" w:themeFill="background1" w:themeFillShade="D9"/>
          </w:tcPr>
          <w:p w14:paraId="648BAC66" w14:textId="77777777" w:rsidR="00A549E0" w:rsidRPr="00AC0DEF" w:rsidRDefault="00A549E0" w:rsidP="00AC0DEF">
            <w:pPr>
              <w:rPr>
                <w:sz w:val="20"/>
                <w:szCs w:val="20"/>
              </w:rPr>
            </w:pPr>
          </w:p>
        </w:tc>
        <w:tc>
          <w:tcPr>
            <w:tcW w:w="1134" w:type="dxa"/>
            <w:vMerge/>
            <w:shd w:val="clear" w:color="auto" w:fill="D9D9D9" w:themeFill="background1" w:themeFillShade="D9"/>
          </w:tcPr>
          <w:p w14:paraId="5D61ABB4" w14:textId="77777777" w:rsidR="00A549E0" w:rsidRPr="00AC0DEF" w:rsidRDefault="00A549E0" w:rsidP="00AC0DEF">
            <w:pPr>
              <w:spacing w:line="276" w:lineRule="auto"/>
              <w:jc w:val="center"/>
              <w:rPr>
                <w:sz w:val="20"/>
                <w:szCs w:val="20"/>
              </w:rPr>
            </w:pPr>
          </w:p>
        </w:tc>
        <w:tc>
          <w:tcPr>
            <w:tcW w:w="1134" w:type="dxa"/>
            <w:vMerge/>
            <w:shd w:val="clear" w:color="auto" w:fill="D9D9D9" w:themeFill="background1" w:themeFillShade="D9"/>
          </w:tcPr>
          <w:p w14:paraId="070512C1" w14:textId="77777777" w:rsidR="00A549E0" w:rsidRPr="00AC0DEF" w:rsidRDefault="00A549E0" w:rsidP="00AC0DEF">
            <w:pPr>
              <w:spacing w:line="276" w:lineRule="auto"/>
              <w:jc w:val="center"/>
              <w:rPr>
                <w:sz w:val="20"/>
                <w:szCs w:val="20"/>
              </w:rPr>
            </w:pPr>
          </w:p>
        </w:tc>
        <w:tc>
          <w:tcPr>
            <w:tcW w:w="1361" w:type="dxa"/>
            <w:vMerge/>
            <w:shd w:val="clear" w:color="auto" w:fill="D9D9D9" w:themeFill="background1" w:themeFillShade="D9"/>
          </w:tcPr>
          <w:p w14:paraId="68AD1AFA" w14:textId="77777777" w:rsidR="00A549E0" w:rsidRPr="00AC0DEF" w:rsidRDefault="00A549E0" w:rsidP="00AC0DEF">
            <w:pPr>
              <w:spacing w:line="276" w:lineRule="auto"/>
              <w:jc w:val="center"/>
              <w:rPr>
                <w:sz w:val="20"/>
                <w:szCs w:val="20"/>
              </w:rPr>
            </w:pPr>
          </w:p>
        </w:tc>
        <w:tc>
          <w:tcPr>
            <w:tcW w:w="1361" w:type="dxa"/>
            <w:vMerge/>
            <w:shd w:val="clear" w:color="auto" w:fill="D9D9D9" w:themeFill="background1" w:themeFillShade="D9"/>
          </w:tcPr>
          <w:p w14:paraId="53F0D0BF" w14:textId="77777777" w:rsidR="00A549E0" w:rsidRPr="00AC0DEF" w:rsidRDefault="00A549E0" w:rsidP="00AC0DEF">
            <w:pPr>
              <w:spacing w:line="276" w:lineRule="auto"/>
              <w:jc w:val="center"/>
              <w:rPr>
                <w:sz w:val="20"/>
                <w:szCs w:val="20"/>
              </w:rPr>
            </w:pPr>
          </w:p>
        </w:tc>
      </w:tr>
      <w:tr w:rsidR="00A549E0" w:rsidRPr="00AC0DEF" w14:paraId="4C36463F" w14:textId="77777777" w:rsidTr="004B4F74">
        <w:trPr>
          <w:jc w:val="center"/>
        </w:trPr>
        <w:tc>
          <w:tcPr>
            <w:tcW w:w="3998" w:type="dxa"/>
          </w:tcPr>
          <w:p w14:paraId="0260EC04" w14:textId="737B89E7" w:rsidR="00A549E0" w:rsidRPr="00AC0DEF" w:rsidRDefault="00A549E0" w:rsidP="00AC0DEF">
            <w:pPr>
              <w:rPr>
                <w:sz w:val="20"/>
                <w:szCs w:val="20"/>
              </w:rPr>
            </w:pPr>
          </w:p>
        </w:tc>
        <w:tc>
          <w:tcPr>
            <w:tcW w:w="1134" w:type="dxa"/>
          </w:tcPr>
          <w:p w14:paraId="5B4AF705" w14:textId="77777777" w:rsidR="00A549E0" w:rsidRPr="00AC0DEF" w:rsidRDefault="00A549E0" w:rsidP="00AC0DEF">
            <w:pPr>
              <w:jc w:val="center"/>
              <w:rPr>
                <w:sz w:val="20"/>
                <w:szCs w:val="20"/>
              </w:rPr>
            </w:pPr>
          </w:p>
        </w:tc>
        <w:tc>
          <w:tcPr>
            <w:tcW w:w="1134" w:type="dxa"/>
          </w:tcPr>
          <w:p w14:paraId="65F3630B" w14:textId="77777777" w:rsidR="00A549E0" w:rsidRPr="00AC0DEF" w:rsidRDefault="00A549E0" w:rsidP="00AC0DEF">
            <w:pPr>
              <w:jc w:val="center"/>
              <w:rPr>
                <w:sz w:val="20"/>
                <w:szCs w:val="20"/>
              </w:rPr>
            </w:pPr>
          </w:p>
        </w:tc>
        <w:tc>
          <w:tcPr>
            <w:tcW w:w="1361" w:type="dxa"/>
          </w:tcPr>
          <w:p w14:paraId="452B80E0" w14:textId="1ED10FFD" w:rsidR="00A549E0" w:rsidRPr="00AC0DEF" w:rsidRDefault="00A549E0" w:rsidP="00AC0DEF">
            <w:pPr>
              <w:jc w:val="center"/>
              <w:rPr>
                <w:sz w:val="20"/>
                <w:szCs w:val="20"/>
              </w:rPr>
            </w:pPr>
          </w:p>
        </w:tc>
        <w:tc>
          <w:tcPr>
            <w:tcW w:w="1361" w:type="dxa"/>
          </w:tcPr>
          <w:p w14:paraId="30FBF016" w14:textId="12DC0C50" w:rsidR="00A549E0" w:rsidRPr="00AC0DEF" w:rsidRDefault="00A549E0" w:rsidP="00AC0DEF">
            <w:pPr>
              <w:jc w:val="center"/>
              <w:rPr>
                <w:sz w:val="20"/>
                <w:szCs w:val="20"/>
              </w:rPr>
            </w:pPr>
          </w:p>
        </w:tc>
      </w:tr>
      <w:tr w:rsidR="00A549E0" w:rsidRPr="00AC0DEF" w14:paraId="15AB5A12" w14:textId="77777777" w:rsidTr="004B4F74">
        <w:trPr>
          <w:jc w:val="center"/>
        </w:trPr>
        <w:tc>
          <w:tcPr>
            <w:tcW w:w="3998" w:type="dxa"/>
          </w:tcPr>
          <w:p w14:paraId="5931B8F3" w14:textId="65664945" w:rsidR="00A549E0" w:rsidRPr="00AC0DEF" w:rsidRDefault="00A549E0" w:rsidP="00AC0DEF">
            <w:pPr>
              <w:rPr>
                <w:sz w:val="20"/>
                <w:szCs w:val="20"/>
              </w:rPr>
            </w:pPr>
          </w:p>
        </w:tc>
        <w:tc>
          <w:tcPr>
            <w:tcW w:w="1134" w:type="dxa"/>
          </w:tcPr>
          <w:p w14:paraId="639128DA" w14:textId="77777777" w:rsidR="00A549E0" w:rsidRPr="00AC0DEF" w:rsidRDefault="00A549E0" w:rsidP="00AC0DEF">
            <w:pPr>
              <w:jc w:val="center"/>
              <w:rPr>
                <w:rFonts w:cs="Calibri"/>
                <w:color w:val="000000"/>
              </w:rPr>
            </w:pPr>
          </w:p>
        </w:tc>
        <w:tc>
          <w:tcPr>
            <w:tcW w:w="1134" w:type="dxa"/>
          </w:tcPr>
          <w:p w14:paraId="52D92696" w14:textId="77777777" w:rsidR="00A549E0" w:rsidRPr="00AC0DEF" w:rsidRDefault="00A549E0" w:rsidP="00AC0DEF">
            <w:pPr>
              <w:jc w:val="center"/>
              <w:rPr>
                <w:rFonts w:cs="Calibri"/>
                <w:color w:val="000000"/>
              </w:rPr>
            </w:pPr>
          </w:p>
        </w:tc>
        <w:tc>
          <w:tcPr>
            <w:tcW w:w="1361" w:type="dxa"/>
          </w:tcPr>
          <w:p w14:paraId="6FAA17D7" w14:textId="555F15DB" w:rsidR="00A549E0" w:rsidRPr="00AC0DEF" w:rsidRDefault="00A549E0" w:rsidP="00AC0DEF">
            <w:pPr>
              <w:jc w:val="center"/>
              <w:rPr>
                <w:sz w:val="20"/>
                <w:szCs w:val="20"/>
              </w:rPr>
            </w:pPr>
          </w:p>
        </w:tc>
        <w:tc>
          <w:tcPr>
            <w:tcW w:w="1361" w:type="dxa"/>
          </w:tcPr>
          <w:p w14:paraId="6B617AA7" w14:textId="77777777" w:rsidR="00A549E0" w:rsidRPr="00AC0DEF" w:rsidRDefault="00A549E0" w:rsidP="00AC0DEF">
            <w:pPr>
              <w:jc w:val="center"/>
              <w:rPr>
                <w:sz w:val="20"/>
                <w:szCs w:val="20"/>
              </w:rPr>
            </w:pPr>
          </w:p>
        </w:tc>
      </w:tr>
      <w:tr w:rsidR="00A549E0" w:rsidRPr="00AC0DEF" w14:paraId="5B512B66" w14:textId="77777777" w:rsidTr="004B4F74">
        <w:trPr>
          <w:jc w:val="center"/>
        </w:trPr>
        <w:tc>
          <w:tcPr>
            <w:tcW w:w="3998" w:type="dxa"/>
          </w:tcPr>
          <w:p w14:paraId="69AB32B0" w14:textId="2015BAB4" w:rsidR="00A549E0" w:rsidRPr="00AC0DEF" w:rsidRDefault="00A549E0" w:rsidP="00AC0DEF">
            <w:pPr>
              <w:rPr>
                <w:sz w:val="20"/>
                <w:szCs w:val="20"/>
              </w:rPr>
            </w:pPr>
          </w:p>
        </w:tc>
        <w:tc>
          <w:tcPr>
            <w:tcW w:w="1134" w:type="dxa"/>
          </w:tcPr>
          <w:p w14:paraId="67C47515" w14:textId="77777777" w:rsidR="00A549E0" w:rsidRPr="00AC0DEF" w:rsidRDefault="00A549E0" w:rsidP="00AC0DEF">
            <w:pPr>
              <w:jc w:val="center"/>
              <w:rPr>
                <w:sz w:val="20"/>
                <w:szCs w:val="20"/>
              </w:rPr>
            </w:pPr>
          </w:p>
        </w:tc>
        <w:tc>
          <w:tcPr>
            <w:tcW w:w="1134" w:type="dxa"/>
          </w:tcPr>
          <w:p w14:paraId="76CC9D16" w14:textId="77777777" w:rsidR="00A549E0" w:rsidRPr="00AC0DEF" w:rsidRDefault="00A549E0" w:rsidP="00AC0DEF">
            <w:pPr>
              <w:jc w:val="center"/>
              <w:rPr>
                <w:sz w:val="20"/>
                <w:szCs w:val="20"/>
              </w:rPr>
            </w:pPr>
          </w:p>
        </w:tc>
        <w:tc>
          <w:tcPr>
            <w:tcW w:w="1361" w:type="dxa"/>
          </w:tcPr>
          <w:p w14:paraId="22B35BDD" w14:textId="2782B3A0" w:rsidR="00A549E0" w:rsidRPr="00AC0DEF" w:rsidRDefault="00A549E0" w:rsidP="00AC0DEF">
            <w:pPr>
              <w:jc w:val="center"/>
              <w:rPr>
                <w:sz w:val="20"/>
                <w:szCs w:val="20"/>
              </w:rPr>
            </w:pPr>
          </w:p>
        </w:tc>
        <w:tc>
          <w:tcPr>
            <w:tcW w:w="1361" w:type="dxa"/>
          </w:tcPr>
          <w:p w14:paraId="55D80553" w14:textId="3BD64E32" w:rsidR="00A549E0" w:rsidRPr="00AC0DEF" w:rsidRDefault="00A549E0" w:rsidP="00AC0DEF">
            <w:pPr>
              <w:jc w:val="center"/>
              <w:rPr>
                <w:sz w:val="20"/>
                <w:szCs w:val="20"/>
              </w:rPr>
            </w:pPr>
          </w:p>
        </w:tc>
      </w:tr>
      <w:tr w:rsidR="004B4F74" w:rsidRPr="00AC0DEF" w14:paraId="35692C9E" w14:textId="77777777" w:rsidTr="004B4F74">
        <w:trPr>
          <w:jc w:val="center"/>
        </w:trPr>
        <w:tc>
          <w:tcPr>
            <w:tcW w:w="3998" w:type="dxa"/>
          </w:tcPr>
          <w:p w14:paraId="53FAD79F" w14:textId="7CA84EAC" w:rsidR="004B4F74" w:rsidRPr="00AC0DEF" w:rsidRDefault="004B4F74" w:rsidP="00AC0DEF">
            <w:pPr>
              <w:rPr>
                <w:sz w:val="20"/>
                <w:szCs w:val="20"/>
              </w:rPr>
            </w:pPr>
          </w:p>
        </w:tc>
        <w:tc>
          <w:tcPr>
            <w:tcW w:w="1134" w:type="dxa"/>
          </w:tcPr>
          <w:p w14:paraId="592EDA5C" w14:textId="77777777" w:rsidR="004B4F74" w:rsidRPr="00AC0DEF" w:rsidRDefault="004B4F74" w:rsidP="00AC0DEF">
            <w:pPr>
              <w:jc w:val="center"/>
              <w:rPr>
                <w:sz w:val="20"/>
                <w:szCs w:val="20"/>
              </w:rPr>
            </w:pPr>
          </w:p>
        </w:tc>
        <w:tc>
          <w:tcPr>
            <w:tcW w:w="1134" w:type="dxa"/>
          </w:tcPr>
          <w:p w14:paraId="757BCEF7" w14:textId="77777777" w:rsidR="004B4F74" w:rsidRPr="00AC0DEF" w:rsidRDefault="004B4F74" w:rsidP="00AC0DEF">
            <w:pPr>
              <w:jc w:val="center"/>
              <w:rPr>
                <w:sz w:val="20"/>
                <w:szCs w:val="20"/>
              </w:rPr>
            </w:pPr>
          </w:p>
        </w:tc>
        <w:tc>
          <w:tcPr>
            <w:tcW w:w="1361" w:type="dxa"/>
          </w:tcPr>
          <w:p w14:paraId="29BFC7E0" w14:textId="7C45EE75" w:rsidR="004B4F74" w:rsidRPr="00AC0DEF" w:rsidRDefault="004B4F74" w:rsidP="007B7543">
            <w:pPr>
              <w:jc w:val="center"/>
              <w:rPr>
                <w:sz w:val="20"/>
                <w:szCs w:val="20"/>
              </w:rPr>
            </w:pPr>
          </w:p>
        </w:tc>
        <w:tc>
          <w:tcPr>
            <w:tcW w:w="1361" w:type="dxa"/>
          </w:tcPr>
          <w:p w14:paraId="3D63B6D0" w14:textId="5C31C456" w:rsidR="004B4F74" w:rsidRPr="00AC0DEF" w:rsidRDefault="004B4F74" w:rsidP="007B7543">
            <w:pPr>
              <w:jc w:val="center"/>
              <w:rPr>
                <w:sz w:val="20"/>
                <w:szCs w:val="20"/>
              </w:rPr>
            </w:pPr>
          </w:p>
        </w:tc>
      </w:tr>
      <w:tr w:rsidR="004B4F74" w:rsidRPr="00AC0DEF" w14:paraId="629BD93F" w14:textId="77777777" w:rsidTr="004B4F74">
        <w:trPr>
          <w:jc w:val="center"/>
        </w:trPr>
        <w:tc>
          <w:tcPr>
            <w:tcW w:w="3998" w:type="dxa"/>
          </w:tcPr>
          <w:p w14:paraId="0E6BD773" w14:textId="2275A14D" w:rsidR="004B4F74" w:rsidRPr="00AC0DEF" w:rsidRDefault="004B4F74" w:rsidP="00826321">
            <w:pPr>
              <w:rPr>
                <w:sz w:val="20"/>
                <w:szCs w:val="20"/>
              </w:rPr>
            </w:pPr>
          </w:p>
        </w:tc>
        <w:tc>
          <w:tcPr>
            <w:tcW w:w="1134" w:type="dxa"/>
          </w:tcPr>
          <w:p w14:paraId="5A351245" w14:textId="15B9C58A" w:rsidR="004B4F74" w:rsidRPr="00AC0DEF" w:rsidRDefault="004B4F74" w:rsidP="00AC0DEF">
            <w:pPr>
              <w:spacing w:line="276" w:lineRule="auto"/>
              <w:jc w:val="center"/>
              <w:rPr>
                <w:rFonts w:cs="Calibri"/>
                <w:color w:val="000000"/>
              </w:rPr>
            </w:pPr>
          </w:p>
        </w:tc>
        <w:tc>
          <w:tcPr>
            <w:tcW w:w="1134" w:type="dxa"/>
          </w:tcPr>
          <w:p w14:paraId="410AC373" w14:textId="77777777" w:rsidR="004B4F74" w:rsidRPr="00AC0DEF" w:rsidRDefault="004B4F74" w:rsidP="00AC0DEF">
            <w:pPr>
              <w:spacing w:line="276" w:lineRule="auto"/>
              <w:jc w:val="center"/>
              <w:rPr>
                <w:rFonts w:cs="Calibri"/>
                <w:color w:val="000000"/>
              </w:rPr>
            </w:pPr>
          </w:p>
        </w:tc>
        <w:tc>
          <w:tcPr>
            <w:tcW w:w="1361" w:type="dxa"/>
          </w:tcPr>
          <w:p w14:paraId="54F8D936" w14:textId="0DD40DBB" w:rsidR="004B4F74" w:rsidRPr="00AC0DEF" w:rsidRDefault="004B4F74" w:rsidP="00AC0DEF">
            <w:pPr>
              <w:spacing w:line="276" w:lineRule="auto"/>
              <w:jc w:val="center"/>
              <w:rPr>
                <w:sz w:val="20"/>
                <w:szCs w:val="20"/>
              </w:rPr>
            </w:pPr>
          </w:p>
        </w:tc>
        <w:tc>
          <w:tcPr>
            <w:tcW w:w="1361" w:type="dxa"/>
          </w:tcPr>
          <w:p w14:paraId="69B1BC90" w14:textId="77777777" w:rsidR="004B4F74" w:rsidRPr="00AC0DEF" w:rsidRDefault="004B4F74" w:rsidP="00AC0DEF">
            <w:pPr>
              <w:spacing w:line="276" w:lineRule="auto"/>
              <w:jc w:val="center"/>
              <w:rPr>
                <w:sz w:val="20"/>
                <w:szCs w:val="20"/>
              </w:rPr>
            </w:pPr>
          </w:p>
        </w:tc>
      </w:tr>
      <w:tr w:rsidR="004B4F74" w:rsidRPr="00AC0DEF" w14:paraId="252E6628" w14:textId="77777777" w:rsidTr="004B4F74">
        <w:trPr>
          <w:jc w:val="center"/>
        </w:trPr>
        <w:tc>
          <w:tcPr>
            <w:tcW w:w="3998" w:type="dxa"/>
            <w:shd w:val="clear" w:color="auto" w:fill="D9D9D9" w:themeFill="background1" w:themeFillShade="D9"/>
          </w:tcPr>
          <w:p w14:paraId="0FEA262C" w14:textId="77777777" w:rsidR="004B4F74" w:rsidRPr="00AC0DEF" w:rsidRDefault="004B4F74" w:rsidP="00AC0DEF">
            <w:pPr>
              <w:spacing w:line="276" w:lineRule="auto"/>
              <w:jc w:val="center"/>
              <w:rPr>
                <w:b/>
                <w:bCs/>
                <w:sz w:val="20"/>
                <w:szCs w:val="20"/>
              </w:rPr>
            </w:pPr>
            <w:r w:rsidRPr="00A549E0">
              <w:rPr>
                <w:b/>
                <w:bCs/>
                <w:sz w:val="20"/>
                <w:szCs w:val="20"/>
              </w:rPr>
              <w:t xml:space="preserve">Total </w:t>
            </w:r>
          </w:p>
        </w:tc>
        <w:tc>
          <w:tcPr>
            <w:tcW w:w="1134" w:type="dxa"/>
            <w:shd w:val="clear" w:color="auto" w:fill="D9D9D9" w:themeFill="background1" w:themeFillShade="D9"/>
          </w:tcPr>
          <w:p w14:paraId="24C7291F" w14:textId="77777777" w:rsidR="004B4F74" w:rsidRPr="00A549E0" w:rsidRDefault="004B4F74" w:rsidP="00AC0DEF">
            <w:pPr>
              <w:spacing w:line="276" w:lineRule="auto"/>
              <w:jc w:val="center"/>
              <w:rPr>
                <w:b/>
                <w:sz w:val="20"/>
                <w:szCs w:val="20"/>
              </w:rPr>
            </w:pPr>
          </w:p>
        </w:tc>
        <w:tc>
          <w:tcPr>
            <w:tcW w:w="1134" w:type="dxa"/>
            <w:shd w:val="clear" w:color="auto" w:fill="D9D9D9" w:themeFill="background1" w:themeFillShade="D9"/>
          </w:tcPr>
          <w:p w14:paraId="07815A84" w14:textId="77777777" w:rsidR="004B4F74" w:rsidRPr="00A549E0" w:rsidRDefault="004B4F74" w:rsidP="00AC0DEF">
            <w:pPr>
              <w:spacing w:line="276" w:lineRule="auto"/>
              <w:jc w:val="center"/>
              <w:rPr>
                <w:b/>
                <w:sz w:val="20"/>
                <w:szCs w:val="20"/>
              </w:rPr>
            </w:pPr>
          </w:p>
        </w:tc>
        <w:tc>
          <w:tcPr>
            <w:tcW w:w="1361" w:type="dxa"/>
            <w:shd w:val="clear" w:color="auto" w:fill="D9D9D9" w:themeFill="background1" w:themeFillShade="D9"/>
          </w:tcPr>
          <w:p w14:paraId="087A1BAD" w14:textId="1EA910B2" w:rsidR="004B4F74" w:rsidRPr="00AC0DEF" w:rsidRDefault="004B4F74" w:rsidP="00AC0DEF">
            <w:pPr>
              <w:spacing w:line="276" w:lineRule="auto"/>
              <w:jc w:val="center"/>
              <w:rPr>
                <w:b/>
                <w:bCs/>
                <w:sz w:val="20"/>
                <w:szCs w:val="20"/>
              </w:rPr>
            </w:pPr>
          </w:p>
        </w:tc>
        <w:tc>
          <w:tcPr>
            <w:tcW w:w="1361" w:type="dxa"/>
            <w:shd w:val="clear" w:color="auto" w:fill="D9D9D9" w:themeFill="background1" w:themeFillShade="D9"/>
          </w:tcPr>
          <w:p w14:paraId="4F846548" w14:textId="6F7961C7" w:rsidR="004B4F74" w:rsidRPr="00AC0DEF" w:rsidRDefault="004B4F74" w:rsidP="00AC0DEF">
            <w:pPr>
              <w:spacing w:line="276" w:lineRule="auto"/>
              <w:jc w:val="center"/>
              <w:rPr>
                <w:b/>
                <w:bCs/>
                <w:sz w:val="20"/>
                <w:szCs w:val="20"/>
              </w:rPr>
            </w:pPr>
          </w:p>
        </w:tc>
      </w:tr>
    </w:tbl>
    <w:p w14:paraId="0011CEB2" w14:textId="77777777" w:rsidR="00AC0DEF" w:rsidRDefault="00AC0DEF" w:rsidP="003A7507">
      <w:pPr>
        <w:rPr>
          <w:rFonts w:ascii="Calibri" w:hAnsi="Calibri"/>
          <w:b/>
          <w:sz w:val="22"/>
          <w:szCs w:val="22"/>
          <w:u w:val="single"/>
        </w:rPr>
      </w:pPr>
    </w:p>
    <w:p w14:paraId="149B0105" w14:textId="77777777" w:rsidR="003A0700" w:rsidRPr="00D15F32" w:rsidRDefault="003A0700" w:rsidP="001D27F6">
      <w:pPr>
        <w:rPr>
          <w:rFonts w:ascii="Calibri" w:hAnsi="Calibri"/>
          <w:sz w:val="22"/>
          <w:szCs w:val="22"/>
        </w:rPr>
      </w:pPr>
    </w:p>
    <w:p w14:paraId="1982EB1F" w14:textId="3162FAE2" w:rsidR="001D27F6" w:rsidRPr="00D15F32" w:rsidRDefault="00FE08AB" w:rsidP="00161C5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Profil du consortium et ses membres</w:t>
      </w:r>
    </w:p>
    <w:p w14:paraId="4E82B09E" w14:textId="77777777" w:rsidR="001441C8" w:rsidRPr="00D15F32" w:rsidRDefault="001441C8" w:rsidP="00C85939">
      <w:pPr>
        <w:ind w:left="540"/>
        <w:jc w:val="both"/>
        <w:rPr>
          <w:rFonts w:ascii="Calibri" w:eastAsia="Arial Unicode MS" w:hAnsi="Calibri" w:cs="Arial Unicode MS"/>
          <w:b/>
          <w:sz w:val="22"/>
          <w:szCs w:val="22"/>
          <w:lang w:eastAsia="en-US"/>
        </w:rPr>
      </w:pPr>
    </w:p>
    <w:p w14:paraId="540E3953" w14:textId="77777777" w:rsidR="00FE08AB"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candidat doit répondre aux critères suivants :</w:t>
      </w:r>
    </w:p>
    <w:p w14:paraId="40B9F819"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Constitution en consortium obligatoire d’au moins deux (2) incubateurs labellisés, justifiant d’une existence légale en Algérie et opérant dans les wilayas du littoral. Un chef de file devra être désigné et portera la responsabilité administrative, technique et financière de l’ensemble du consortium.</w:t>
      </w:r>
    </w:p>
    <w:p w14:paraId="396FB3D8"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Couverture territoriale plurielle : le consortium devra démontrer une implantation effective dans au moins deux (2) wilayas du littoral, et présenter une stratégie de couverture des quatorze (14) wilayas littorales pour le </w:t>
      </w:r>
      <w:proofErr w:type="spellStart"/>
      <w:r w:rsidRPr="00FE08AB">
        <w:rPr>
          <w:rFonts w:asciiTheme="minorHAnsi" w:hAnsiTheme="minorHAnsi" w:cstheme="minorHAnsi"/>
          <w:sz w:val="22"/>
          <w:szCs w:val="22"/>
        </w:rPr>
        <w:t>sourcing</w:t>
      </w:r>
      <w:proofErr w:type="spellEnd"/>
      <w:r w:rsidRPr="00FE08AB">
        <w:rPr>
          <w:rFonts w:asciiTheme="minorHAnsi" w:hAnsiTheme="minorHAnsi" w:cstheme="minorHAnsi"/>
          <w:sz w:val="22"/>
          <w:szCs w:val="22"/>
        </w:rPr>
        <w:t xml:space="preserve"> et l’accompagnement.</w:t>
      </w:r>
    </w:p>
    <w:p w14:paraId="0D533A5E"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Expérience avérée en accélération (et non uniquement en incubation) : le consortium devra justifier de références démontrées dans la conduite de programmes d’accélération de startups, idéalement dans le domaine de l’économie bleue ou de secteurs connexes (économie verte, biotechnologies, technologies industrielles). La capitalisation sur la phase pilote d’incubation 2025 sera valorisée.</w:t>
      </w:r>
    </w:p>
    <w:p w14:paraId="4CF2D3E8"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Réseau d’experts et de mentors structuré : le consortium devra justifier d’un réseau actif et structuré d’experts, coachs et mentors locaux et internationaux, mobilisables pour le programme.</w:t>
      </w:r>
    </w:p>
    <w:p w14:paraId="1AB8481F"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 xml:space="preserve">Réseau d’investisseurs et de financeurs mobilisables : le consortium devra démontrer un accès qualifié à un réseau d’investisseurs et de financeurs (business </w:t>
      </w:r>
      <w:proofErr w:type="spellStart"/>
      <w:r w:rsidRPr="00FE08AB">
        <w:rPr>
          <w:rFonts w:asciiTheme="minorHAnsi" w:hAnsiTheme="minorHAnsi" w:cstheme="minorHAnsi"/>
          <w:sz w:val="22"/>
          <w:szCs w:val="22"/>
        </w:rPr>
        <w:t>angels</w:t>
      </w:r>
      <w:proofErr w:type="spellEnd"/>
      <w:r w:rsidRPr="00FE08AB">
        <w:rPr>
          <w:rFonts w:asciiTheme="minorHAnsi" w:hAnsiTheme="minorHAnsi" w:cstheme="minorHAnsi"/>
          <w:sz w:val="22"/>
          <w:szCs w:val="22"/>
        </w:rPr>
        <w:t>, fonds d’investissement, institutions financières, organismes publics et privés), aussi bien algériens qu’internationaux. L’offre devra présenter une liste indicative d’investisseurs et de partenaires mobilisables pour le Démo Day, ainsi que des références d’opérations de levée de fonds auxquelles le consortium ou ses membres ont contribué. Des lettres de soutien de réseaux d’investisseurs ou d’investisseurs seront un plus.</w:t>
      </w:r>
    </w:p>
    <w:p w14:paraId="2AB382C3"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Capacité de mobilisation internationale : le consortium devra démontrer une capacité avérée à mobiliser des partenaires européens (incubateurs / accélérateurs, fonds</w:t>
      </w:r>
      <w:r>
        <w:t xml:space="preserve">, entreprises </w:t>
      </w:r>
      <w:r w:rsidRPr="00FE08AB">
        <w:rPr>
          <w:rFonts w:asciiTheme="minorHAnsi" w:hAnsiTheme="minorHAnsi" w:cstheme="minorHAnsi"/>
          <w:sz w:val="22"/>
          <w:szCs w:val="22"/>
        </w:rPr>
        <w:lastRenderedPageBreak/>
        <w:t>industrielles, structures de recherche), notamment en vue des voyages d’étude. Des références de coopérations internationales antérieures seront valorisées.</w:t>
      </w:r>
    </w:p>
    <w:p w14:paraId="43AC40D7" w14:textId="77777777" w:rsidR="00FE08AB" w:rsidRPr="00FE08AB" w:rsidRDefault="00FE08AB" w:rsidP="00FE08AB">
      <w:pPr>
        <w:pStyle w:val="Paragraphedeliste"/>
        <w:numPr>
          <w:ilvl w:val="0"/>
          <w:numId w:val="47"/>
        </w:numPr>
        <w:spacing w:after="60" w:line="276" w:lineRule="auto"/>
        <w:contextualSpacing w:val="0"/>
        <w:jc w:val="both"/>
        <w:rPr>
          <w:rFonts w:asciiTheme="minorHAnsi" w:hAnsiTheme="minorHAnsi" w:cstheme="minorHAnsi"/>
          <w:sz w:val="22"/>
          <w:szCs w:val="22"/>
        </w:rPr>
      </w:pPr>
      <w:r w:rsidRPr="00FE08AB">
        <w:rPr>
          <w:rFonts w:asciiTheme="minorHAnsi" w:hAnsiTheme="minorHAnsi" w:cstheme="minorHAnsi"/>
          <w:sz w:val="22"/>
          <w:szCs w:val="22"/>
        </w:rPr>
        <w:t>Capacité d’hébergement physique : le consortium devra disposer d’espaces d’incubation et de travail adaptés permettant d’accueillir les startups dans de bonnes conditions tout au long du programme.</w:t>
      </w:r>
    </w:p>
    <w:p w14:paraId="29E8F635" w14:textId="681CFDC0" w:rsidR="00AC47A6" w:rsidRPr="00FE08AB" w:rsidRDefault="00FE08AB" w:rsidP="00FE08AB">
      <w:pPr>
        <w:spacing w:after="120" w:line="276" w:lineRule="auto"/>
        <w:jc w:val="both"/>
        <w:rPr>
          <w:rFonts w:asciiTheme="minorHAnsi" w:hAnsiTheme="minorHAnsi" w:cstheme="minorHAnsi"/>
          <w:sz w:val="22"/>
          <w:szCs w:val="22"/>
        </w:rPr>
      </w:pPr>
      <w:r w:rsidRPr="00FE08AB">
        <w:rPr>
          <w:rFonts w:asciiTheme="minorHAnsi" w:hAnsiTheme="minorHAnsi" w:cstheme="minorHAnsi"/>
          <w:sz w:val="22"/>
          <w:szCs w:val="22"/>
        </w:rPr>
        <w:t>Le consortium devra répondre à l’appel à candidatures en déposant une offre technique et une offre financière.</w:t>
      </w:r>
    </w:p>
    <w:p w14:paraId="133D749C" w14:textId="77777777" w:rsidR="001D27F6" w:rsidRPr="00D15F32" w:rsidRDefault="001D27F6" w:rsidP="001D27F6">
      <w:pPr>
        <w:rPr>
          <w:rFonts w:ascii="Calibri" w:hAnsi="Calibri"/>
          <w:sz w:val="22"/>
          <w:szCs w:val="22"/>
        </w:rPr>
      </w:pPr>
    </w:p>
    <w:p w14:paraId="37AF4BA1" w14:textId="77777777" w:rsidR="001D27F6" w:rsidRPr="00D15F32" w:rsidRDefault="001D27F6" w:rsidP="00161C5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Informations pratiques</w:t>
      </w:r>
    </w:p>
    <w:p w14:paraId="79132BA8" w14:textId="77777777" w:rsidR="00A549E0" w:rsidRDefault="00A549E0" w:rsidP="00C85939">
      <w:pPr>
        <w:jc w:val="both"/>
        <w:rPr>
          <w:rFonts w:ascii="Calibri" w:hAnsi="Calibri"/>
          <w:sz w:val="22"/>
          <w:szCs w:val="22"/>
        </w:rPr>
      </w:pPr>
    </w:p>
    <w:p w14:paraId="282CF8B6" w14:textId="77777777" w:rsidR="00C90734" w:rsidRDefault="00C90734" w:rsidP="00C85939">
      <w:pPr>
        <w:jc w:val="both"/>
        <w:rPr>
          <w:rFonts w:ascii="Calibri" w:hAnsi="Calibri"/>
          <w:sz w:val="22"/>
          <w:szCs w:val="22"/>
        </w:rPr>
      </w:pPr>
    </w:p>
    <w:p w14:paraId="604E2E37" w14:textId="1395A79A" w:rsidR="00C90734" w:rsidRPr="00164B49" w:rsidRDefault="00164B49" w:rsidP="00164B49">
      <w:pPr>
        <w:pStyle w:val="Paragraphedeliste"/>
        <w:numPr>
          <w:ilvl w:val="0"/>
          <w:numId w:val="48"/>
        </w:numPr>
        <w:jc w:val="both"/>
        <w:rPr>
          <w:rFonts w:ascii="Calibri" w:hAnsi="Calibri"/>
          <w:sz w:val="22"/>
          <w:szCs w:val="22"/>
        </w:rPr>
      </w:pPr>
      <w:r w:rsidRPr="00164B49">
        <w:rPr>
          <w:rFonts w:ascii="Calibri" w:hAnsi="Calibri"/>
          <w:sz w:val="22"/>
          <w:szCs w:val="22"/>
        </w:rPr>
        <w:t>Le voyage d’étude est pris en charge par le programme</w:t>
      </w:r>
    </w:p>
    <w:p w14:paraId="37A8A4F3" w14:textId="039F65A3" w:rsidR="00164B49" w:rsidRPr="00164B49" w:rsidRDefault="00164B49" w:rsidP="00164B49">
      <w:pPr>
        <w:pStyle w:val="Paragraphedeliste"/>
        <w:numPr>
          <w:ilvl w:val="0"/>
          <w:numId w:val="48"/>
        </w:numPr>
        <w:jc w:val="both"/>
        <w:rPr>
          <w:rFonts w:ascii="Calibri" w:hAnsi="Calibri"/>
          <w:sz w:val="22"/>
          <w:szCs w:val="22"/>
        </w:rPr>
      </w:pPr>
      <w:r w:rsidRPr="00164B49">
        <w:rPr>
          <w:rFonts w:ascii="Calibri" w:hAnsi="Calibri"/>
          <w:sz w:val="22"/>
          <w:szCs w:val="22"/>
        </w:rPr>
        <w:t>Le programme est exonéré de TVA, une franchise sera remise au soumissionnaire retenu une fois la facture finale remise.</w:t>
      </w:r>
    </w:p>
    <w:sectPr w:rsidR="00164B49" w:rsidRPr="00164B49"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9C307" w14:textId="77777777" w:rsidR="002D34F8" w:rsidRDefault="002D34F8">
      <w:r>
        <w:separator/>
      </w:r>
    </w:p>
  </w:endnote>
  <w:endnote w:type="continuationSeparator" w:id="0">
    <w:p w14:paraId="2992BE82" w14:textId="77777777" w:rsidR="002D34F8" w:rsidRDefault="002D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7A3"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AA1C" w14:textId="77777777" w:rsidR="007B7543" w:rsidRPr="00F37989" w:rsidRDefault="007B7543"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0C4797">
      <w:rPr>
        <w:rStyle w:val="Numrodepage"/>
        <w:rFonts w:ascii="Calibri" w:hAnsi="Calibri"/>
        <w:noProof/>
        <w:sz w:val="20"/>
        <w:szCs w:val="20"/>
      </w:rPr>
      <w:t>4</w:t>
    </w:r>
    <w:r w:rsidRPr="00F37989">
      <w:rPr>
        <w:rStyle w:val="Numrodepage"/>
        <w:rFonts w:ascii="Calibri" w:hAnsi="Calibri"/>
        <w:sz w:val="20"/>
        <w:szCs w:val="20"/>
      </w:rPr>
      <w:fldChar w:fldCharType="end"/>
    </w:r>
  </w:p>
  <w:p w14:paraId="4F45E67C" w14:textId="2333E27C" w:rsidR="00870B8F" w:rsidRDefault="00870B8F" w:rsidP="00870B8F">
    <w:pPr>
      <w:pStyle w:val="Pieddepage"/>
      <w:tabs>
        <w:tab w:val="clear" w:pos="4536"/>
      </w:tabs>
      <w:rPr>
        <w:rFonts w:asciiTheme="minorHAnsi" w:hAnsiTheme="minorHAnsi"/>
        <w:sz w:val="22"/>
      </w:rPr>
    </w:pPr>
    <w:r w:rsidRPr="00283E74">
      <w:rPr>
        <w:rFonts w:asciiTheme="minorHAnsi" w:hAnsiTheme="minorHAnsi"/>
        <w:sz w:val="22"/>
      </w:rPr>
      <w:t>R</w:t>
    </w:r>
    <w:r>
      <w:rPr>
        <w:rFonts w:asciiTheme="minorHAnsi" w:hAnsiTheme="minorHAnsi"/>
        <w:sz w:val="22"/>
      </w:rPr>
      <w:t>ef : DAJ_M003_v02</w:t>
    </w:r>
    <w:r w:rsidR="00F20B71">
      <w:rPr>
        <w:rFonts w:asciiTheme="minorHAnsi" w:hAnsiTheme="minorHAnsi"/>
        <w:sz w:val="22"/>
      </w:rPr>
      <w:t>, Juin</w:t>
    </w:r>
    <w:r w:rsidR="00DE6B38">
      <w:rPr>
        <w:rFonts w:asciiTheme="minorHAnsi" w:hAnsiTheme="minorHAnsi"/>
        <w:sz w:val="22"/>
      </w:rPr>
      <w:t xml:space="preserve"> 2021</w:t>
    </w:r>
  </w:p>
  <w:p w14:paraId="47A7F565" w14:textId="593BEFF5"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 xml:space="preserve">d </w:t>
    </w:r>
    <w:r w:rsidR="00F20B71">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7B7543" w:rsidRDefault="007B7543"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AF23" w14:textId="3D20E556" w:rsidR="00870B8F" w:rsidRDefault="00283E74" w:rsidP="00870B8F">
    <w:pPr>
      <w:pStyle w:val="Pieddepage"/>
      <w:tabs>
        <w:tab w:val="clear" w:pos="4536"/>
      </w:tabs>
      <w:rPr>
        <w:rFonts w:asciiTheme="minorHAnsi" w:hAnsiTheme="minorHAnsi"/>
        <w:sz w:val="22"/>
      </w:rPr>
    </w:pPr>
    <w:r w:rsidRPr="00283E74">
      <w:rPr>
        <w:rFonts w:asciiTheme="minorHAnsi" w:hAnsiTheme="minorHAnsi"/>
        <w:sz w:val="22"/>
      </w:rPr>
      <w:t>R</w:t>
    </w:r>
    <w:r w:rsidR="00870B8F">
      <w:rPr>
        <w:rFonts w:asciiTheme="minorHAnsi" w:hAnsiTheme="minorHAnsi"/>
        <w:sz w:val="22"/>
      </w:rPr>
      <w:t xml:space="preserve">ef : </w:t>
    </w:r>
    <w:r w:rsidR="00870B8F" w:rsidRPr="00F20B71">
      <w:rPr>
        <w:rFonts w:asciiTheme="minorHAnsi" w:hAnsiTheme="minorHAnsi"/>
        <w:sz w:val="20"/>
        <w:szCs w:val="20"/>
      </w:rPr>
      <w:t>DAJ_M003_v02</w:t>
    </w:r>
    <w:r w:rsidR="00F20B71" w:rsidRPr="00F20B71">
      <w:rPr>
        <w:rFonts w:asciiTheme="minorHAnsi" w:hAnsiTheme="minorHAnsi"/>
        <w:sz w:val="20"/>
        <w:szCs w:val="20"/>
      </w:rPr>
      <w:t xml:space="preserve">, Juin </w:t>
    </w:r>
    <w:r w:rsidR="00DE6B38" w:rsidRPr="00F20B71">
      <w:rPr>
        <w:rFonts w:asciiTheme="minorHAnsi" w:hAnsiTheme="minorHAnsi"/>
        <w:sz w:val="20"/>
        <w:szCs w:val="20"/>
      </w:rPr>
      <w:t>2021</w:t>
    </w:r>
  </w:p>
  <w:p w14:paraId="2B45E8B1" w14:textId="42EBBC7D"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d</w:t>
    </w:r>
    <w:r w:rsidR="00F20B71">
      <w:rPr>
        <w:rFonts w:asciiTheme="minorHAnsi" w:hAnsiTheme="minorHAnsi" w:cs="Arial"/>
        <w:sz w:val="16"/>
        <w:szCs w:val="16"/>
      </w:rPr>
      <w:t xml:space="preserve"> de</w:t>
    </w:r>
    <w:r w:rsidRPr="001C1FC5">
      <w:rPr>
        <w:rFonts w:asciiTheme="minorHAnsi" w:hAnsiTheme="minorHAnsi" w:cs="Arial"/>
        <w:sz w:val="16"/>
        <w:szCs w:val="16"/>
      </w:rPr>
      <w:t xml:space="preserve"> Port</w:t>
    </w:r>
    <w:r w:rsidR="00F20B71">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03598452" w:rsidR="00283E74" w:rsidRPr="00283E74" w:rsidRDefault="00283E74" w:rsidP="00870B8F">
    <w:pPr>
      <w:pStyle w:val="Pieddepage"/>
      <w:tabs>
        <w:tab w:val="clear" w:pos="4536"/>
      </w:tabs>
      <w:rPr>
        <w:rFonts w:asciiTheme="minorHAnsi" w:hAnsiTheme="minorHAnsi"/>
        <w:sz w:val="22"/>
      </w:rPr>
    </w:pPr>
    <w:r w:rsidRPr="00283E74">
      <w:rPr>
        <w:rFonts w:asciiTheme="minorHAnsi" w:hAnsiTheme="minorHAnsi"/>
        <w:sz w:val="22"/>
      </w:rPr>
      <w:tab/>
    </w:r>
    <w:r w:rsidR="00870B8F">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Content>
        <w:sdt>
          <w:sdtPr>
            <w:rPr>
              <w:rFonts w:asciiTheme="minorHAnsi" w:hAnsiTheme="minorHAnsi"/>
              <w:sz w:val="22"/>
            </w:rPr>
            <w:id w:val="-1769616900"/>
            <w:docPartObj>
              <w:docPartGallery w:val="Page Numbers (Top of Page)"/>
              <w:docPartUnique/>
            </w:docPartObj>
          </w:sdt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6F4E71">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6F4E71">
              <w:rPr>
                <w:rFonts w:asciiTheme="minorHAnsi" w:hAnsiTheme="minorHAnsi"/>
                <w:b/>
                <w:bCs/>
                <w:noProof/>
                <w:sz w:val="22"/>
              </w:rPr>
              <w:t>1</w:t>
            </w:r>
            <w:r w:rsidRPr="00283E74">
              <w:rPr>
                <w:rFonts w:asciiTheme="minorHAnsi" w:hAnsiTheme="minorHAnsi"/>
                <w:b/>
                <w:bCs/>
                <w:sz w:val="22"/>
              </w:rPr>
              <w:fldChar w:fldCharType="end"/>
            </w:r>
          </w:sdtContent>
        </w:sdt>
      </w:sdtContent>
    </w:sdt>
  </w:p>
  <w:p w14:paraId="7E9E8931" w14:textId="182A89A7" w:rsidR="00283E74" w:rsidRPr="00283E74" w:rsidRDefault="00283E74"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1A1D8" w14:textId="77777777" w:rsidR="002D34F8" w:rsidRDefault="002D34F8">
      <w:r>
        <w:separator/>
      </w:r>
    </w:p>
  </w:footnote>
  <w:footnote w:type="continuationSeparator" w:id="0">
    <w:p w14:paraId="3F527C0D" w14:textId="77777777" w:rsidR="002D34F8" w:rsidRDefault="002D34F8">
      <w:r>
        <w:continuationSeparator/>
      </w:r>
    </w:p>
  </w:footnote>
  <w:footnote w:id="1">
    <w:p w14:paraId="52B155BE" w14:textId="7C8BB727" w:rsidR="00BB0FD3" w:rsidRDefault="00BB0FD3">
      <w:pPr>
        <w:pStyle w:val="Notedebasdepage"/>
      </w:pPr>
      <w:r>
        <w:rPr>
          <w:rStyle w:val="Appelnotedebasdep"/>
        </w:rPr>
        <w:footnoteRef/>
      </w:r>
      <w:r>
        <w:t xml:space="preserve"> Voir attachement 1 du présent cahier des charges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39D88" w14:textId="77777777" w:rsidR="007B7543" w:rsidRDefault="007B7543">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00000">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4378" w14:textId="247ED109" w:rsidR="00932E04" w:rsidRPr="00707B69" w:rsidRDefault="00870B8F" w:rsidP="00932E04">
    <w:pPr>
      <w:pStyle w:val="En-tte"/>
      <w:rPr>
        <w:rFonts w:ascii="Calibri" w:hAnsi="Calibri" w:cs="Arial"/>
      </w:rPr>
    </w:pPr>
    <w:r w:rsidRPr="001C1FC5">
      <w:rPr>
        <w:rFonts w:cs="Arial"/>
        <w:noProof/>
        <w:sz w:val="16"/>
        <w:szCs w:val="16"/>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932E04" w:rsidRPr="00972A8E" w:rsidRDefault="00932E04" w:rsidP="00932E04">
    <w:pPr>
      <w:pStyle w:val="En-tte"/>
      <w:tabs>
        <w:tab w:val="clear" w:pos="4536"/>
        <w:tab w:val="clear" w:pos="9072"/>
        <w:tab w:val="right" w:pos="9781"/>
      </w:tabs>
      <w:rPr>
        <w:rFonts w:ascii="Calibri" w:hAnsi="Calibri" w:cs="Arial"/>
        <w:sz w:val="18"/>
        <w:u w:val="single"/>
        <w:lang w:val="en-US"/>
      </w:rPr>
    </w:pPr>
  </w:p>
  <w:p w14:paraId="76B902E6" w14:textId="77777777" w:rsidR="00B27244" w:rsidRPr="00932E04" w:rsidRDefault="00B27244">
    <w:pPr>
      <w:pStyle w:val="En-tt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FC669" w14:textId="50DCDAB7" w:rsidR="007B7543" w:rsidRDefault="00870B8F">
    <w:pPr>
      <w:pStyle w:val="En-tte"/>
    </w:pPr>
    <w:r w:rsidRPr="001C1FC5">
      <w:rPr>
        <w:rFonts w:cs="Arial"/>
        <w:noProof/>
        <w:sz w:val="16"/>
        <w:szCs w:val="16"/>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7CE"/>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2842A6B"/>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ED603D"/>
    <w:multiLevelType w:val="multilevel"/>
    <w:tmpl w:val="056EC102"/>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5B60ED"/>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983934"/>
    <w:multiLevelType w:val="hybridMultilevel"/>
    <w:tmpl w:val="8536DB6E"/>
    <w:lvl w:ilvl="0" w:tplc="A70AB14A">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DF1957"/>
    <w:multiLevelType w:val="hybridMultilevel"/>
    <w:tmpl w:val="32D09F76"/>
    <w:lvl w:ilvl="0" w:tplc="B34A9060">
      <w:numFmt w:val="bullet"/>
      <w:lvlText w:val="-"/>
      <w:lvlJc w:val="left"/>
      <w:pPr>
        <w:tabs>
          <w:tab w:val="num" w:pos="360"/>
        </w:tabs>
        <w:ind w:left="360" w:hanging="360"/>
      </w:pPr>
      <w:rPr>
        <w:rFonts w:ascii="Calibri" w:eastAsia="Arial Unicode MS" w:hAnsi="Calibri" w:cs="Arial Unicode M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360"/>
        </w:tabs>
        <w:ind w:left="36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CA70AE3"/>
    <w:multiLevelType w:val="multilevel"/>
    <w:tmpl w:val="F9B8A14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I.%2."/>
      <w:lvlJc w:val="left"/>
      <w:pPr>
        <w:tabs>
          <w:tab w:val="num" w:pos="-621"/>
        </w:tabs>
        <w:ind w:left="1440" w:hanging="360"/>
      </w:pPr>
      <w:rPr>
        <w:rFonts w:hint="default"/>
        <w:b/>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5F2814"/>
    <w:multiLevelType w:val="hybridMultilevel"/>
    <w:tmpl w:val="1E04CC2A"/>
    <w:lvl w:ilvl="0" w:tplc="C08070AE">
      <w:start w:val="2"/>
      <w:numFmt w:val="bullet"/>
      <w:lvlText w:val="-"/>
      <w:lvlJc w:val="left"/>
      <w:pPr>
        <w:ind w:left="1068" w:hanging="360"/>
      </w:pPr>
      <w:rPr>
        <w:rFonts w:ascii="Calibri" w:eastAsia="Times New Roman" w:hAnsi="Calibri"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113DE1"/>
    <w:multiLevelType w:val="hybridMultilevel"/>
    <w:tmpl w:val="3AD8E6AA"/>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330D9"/>
    <w:multiLevelType w:val="hybridMultilevel"/>
    <w:tmpl w:val="4AE6C53C"/>
    <w:lvl w:ilvl="0" w:tplc="01BE3B88">
      <w:numFmt w:val="bullet"/>
      <w:lvlText w:val="-"/>
      <w:lvlJc w:val="left"/>
      <w:pPr>
        <w:tabs>
          <w:tab w:val="num" w:pos="720"/>
        </w:tabs>
        <w:ind w:left="720" w:hanging="360"/>
      </w:pPr>
      <w:rPr>
        <w:rFonts w:ascii="Calibri" w:eastAsia="Arial Unicode MS" w:hAnsi="Calibri" w:cs="Arial Unicode MS" w:hint="default"/>
      </w:rPr>
    </w:lvl>
    <w:lvl w:ilvl="1" w:tplc="0532CA64">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C556DC"/>
    <w:multiLevelType w:val="multilevel"/>
    <w:tmpl w:val="7B20EF74"/>
    <w:lvl w:ilvl="0">
      <w:start w:val="1"/>
      <w:numFmt w:val="upperRoman"/>
      <w:lvlText w:val="%1."/>
      <w:lvlJc w:val="right"/>
      <w:pPr>
        <w:tabs>
          <w:tab w:val="num" w:pos="720"/>
        </w:tabs>
        <w:ind w:left="720" w:hanging="180"/>
      </w:pPr>
    </w:lvl>
    <w:lvl w:ilvl="1">
      <w:start w:val="1"/>
      <w:numFmt w:val="decimal"/>
      <w:lvlText w:val="%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5EF008B"/>
    <w:multiLevelType w:val="hybridMultilevel"/>
    <w:tmpl w:val="4712F29C"/>
    <w:lvl w:ilvl="0" w:tplc="11EAA52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E6502B"/>
    <w:multiLevelType w:val="multilevel"/>
    <w:tmpl w:val="33EE9232"/>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64F56"/>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3B64F4"/>
    <w:multiLevelType w:val="multilevel"/>
    <w:tmpl w:val="167AC01A"/>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b w:val="0"/>
        <w:i w:val="0"/>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13004C"/>
    <w:multiLevelType w:val="multilevel"/>
    <w:tmpl w:val="90220580"/>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5F6CEE"/>
    <w:multiLevelType w:val="hybridMultilevel"/>
    <w:tmpl w:val="E05CE35A"/>
    <w:lvl w:ilvl="0" w:tplc="AB4C2190">
      <w:start w:val="10"/>
      <w:numFmt w:val="bullet"/>
      <w:lvlText w:val="-"/>
      <w:lvlJc w:val="left"/>
      <w:pPr>
        <w:ind w:left="540" w:hanging="360"/>
      </w:pPr>
      <w:rPr>
        <w:rFonts w:ascii="Calibri" w:eastAsia="Times New Roman" w:hAnsi="Calibri"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1" w15:restartNumberingAfterBreak="0">
    <w:nsid w:val="371C6A96"/>
    <w:multiLevelType w:val="multilevel"/>
    <w:tmpl w:val="0164D6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B310B4"/>
    <w:multiLevelType w:val="hybridMultilevel"/>
    <w:tmpl w:val="EB66492E"/>
    <w:lvl w:ilvl="0" w:tplc="8892E4E6">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8C743D"/>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A841533"/>
    <w:multiLevelType w:val="hybridMultilevel"/>
    <w:tmpl w:val="DCCE506E"/>
    <w:lvl w:ilvl="0" w:tplc="6838C80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41863"/>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7" w15:restartNumberingAfterBreak="0">
    <w:nsid w:val="4BCF1B9A"/>
    <w:multiLevelType w:val="hybridMultilevel"/>
    <w:tmpl w:val="423A04C4"/>
    <w:lvl w:ilvl="0" w:tplc="4BC2D300">
      <w:start w:val="1"/>
      <w:numFmt w:val="bullet"/>
      <w:lvlText w:val=""/>
      <w:lvlJc w:val="left"/>
      <w:pPr>
        <w:tabs>
          <w:tab w:val="num" w:pos="720"/>
        </w:tabs>
        <w:ind w:left="720" w:hanging="360"/>
      </w:pPr>
      <w:rPr>
        <w:rFonts w:ascii="Symbol" w:hAnsi="Symbol"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D075D8"/>
    <w:multiLevelType w:val="hybridMultilevel"/>
    <w:tmpl w:val="BD82A614"/>
    <w:lvl w:ilvl="0" w:tplc="BD9447C4">
      <w:start w:val="3"/>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0616E7"/>
    <w:multiLevelType w:val="hybridMultilevel"/>
    <w:tmpl w:val="E102A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6F3479"/>
    <w:multiLevelType w:val="multilevel"/>
    <w:tmpl w:val="66149BF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47B04"/>
    <w:multiLevelType w:val="multilevel"/>
    <w:tmpl w:val="89309074"/>
    <w:lvl w:ilvl="0">
      <w:start w:val="1"/>
      <w:numFmt w:val="bullet"/>
      <w:lvlText w:val="•"/>
      <w:lvlJc w:val="left"/>
      <w:pPr>
        <w:ind w:left="540" w:hanging="2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60501F"/>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9FA189E"/>
    <w:multiLevelType w:val="hybridMultilevel"/>
    <w:tmpl w:val="2A508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DD739A0"/>
    <w:multiLevelType w:val="hybridMultilevel"/>
    <w:tmpl w:val="8A38E790"/>
    <w:lvl w:ilvl="0" w:tplc="814258A0">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67DAC"/>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486A0D"/>
    <w:multiLevelType w:val="hybridMultilevel"/>
    <w:tmpl w:val="947279F8"/>
    <w:lvl w:ilvl="0" w:tplc="0770BCD4">
      <w:numFmt w:val="bullet"/>
      <w:lvlText w:val="-"/>
      <w:lvlJc w:val="left"/>
      <w:pPr>
        <w:ind w:left="1418" w:hanging="341"/>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4CC362E"/>
    <w:multiLevelType w:val="multilevel"/>
    <w:tmpl w:val="CDE437C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9552F80"/>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B0B6446"/>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711C123A"/>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BAC3A06"/>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C925234"/>
    <w:multiLevelType w:val="hybridMultilevel"/>
    <w:tmpl w:val="A12A4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625A6"/>
    <w:multiLevelType w:val="hybridMultilevel"/>
    <w:tmpl w:val="12B4FCDC"/>
    <w:lvl w:ilvl="0" w:tplc="8AB024F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16685544">
    <w:abstractNumId w:val="9"/>
  </w:num>
  <w:num w:numId="2" w16cid:durableId="334890272">
    <w:abstractNumId w:val="38"/>
  </w:num>
  <w:num w:numId="3" w16cid:durableId="861550750">
    <w:abstractNumId w:val="24"/>
  </w:num>
  <w:num w:numId="4" w16cid:durableId="725185542">
    <w:abstractNumId w:val="12"/>
  </w:num>
  <w:num w:numId="5" w16cid:durableId="122961670">
    <w:abstractNumId w:val="47"/>
  </w:num>
  <w:num w:numId="6" w16cid:durableId="1777822446">
    <w:abstractNumId w:val="4"/>
  </w:num>
  <w:num w:numId="7" w16cid:durableId="1595236529">
    <w:abstractNumId w:val="10"/>
  </w:num>
  <w:num w:numId="8" w16cid:durableId="228543397">
    <w:abstractNumId w:val="30"/>
  </w:num>
  <w:num w:numId="9" w16cid:durableId="342250433">
    <w:abstractNumId w:val="13"/>
  </w:num>
  <w:num w:numId="10" w16cid:durableId="83040650">
    <w:abstractNumId w:val="0"/>
  </w:num>
  <w:num w:numId="11" w16cid:durableId="1267466701">
    <w:abstractNumId w:val="16"/>
  </w:num>
  <w:num w:numId="12" w16cid:durableId="1969124088">
    <w:abstractNumId w:val="25"/>
  </w:num>
  <w:num w:numId="13" w16cid:durableId="145980458">
    <w:abstractNumId w:val="23"/>
  </w:num>
  <w:num w:numId="14" w16cid:durableId="1798405940">
    <w:abstractNumId w:val="7"/>
  </w:num>
  <w:num w:numId="15" w16cid:durableId="1103113756">
    <w:abstractNumId w:val="18"/>
  </w:num>
  <w:num w:numId="16" w16cid:durableId="1678919990">
    <w:abstractNumId w:val="14"/>
  </w:num>
  <w:num w:numId="17" w16cid:durableId="926309452">
    <w:abstractNumId w:val="2"/>
  </w:num>
  <w:num w:numId="18" w16cid:durableId="1045177431">
    <w:abstractNumId w:val="19"/>
  </w:num>
  <w:num w:numId="19" w16cid:durableId="533344124">
    <w:abstractNumId w:val="17"/>
  </w:num>
  <w:num w:numId="20" w16cid:durableId="772360655">
    <w:abstractNumId w:val="41"/>
  </w:num>
  <w:num w:numId="21" w16cid:durableId="274219942">
    <w:abstractNumId w:val="34"/>
  </w:num>
  <w:num w:numId="22" w16cid:durableId="1826437955">
    <w:abstractNumId w:val="8"/>
  </w:num>
  <w:num w:numId="23" w16cid:durableId="579752208">
    <w:abstractNumId w:val="40"/>
  </w:num>
  <w:num w:numId="24" w16cid:durableId="1306735221">
    <w:abstractNumId w:val="21"/>
  </w:num>
  <w:num w:numId="25" w16cid:durableId="1442797088">
    <w:abstractNumId w:val="32"/>
  </w:num>
  <w:num w:numId="26" w16cid:durableId="1503471913">
    <w:abstractNumId w:val="27"/>
  </w:num>
  <w:num w:numId="27" w16cid:durableId="1426413294">
    <w:abstractNumId w:val="29"/>
  </w:num>
  <w:num w:numId="28" w16cid:durableId="1613131182">
    <w:abstractNumId w:val="11"/>
  </w:num>
  <w:num w:numId="29" w16cid:durableId="650059766">
    <w:abstractNumId w:val="37"/>
  </w:num>
  <w:num w:numId="30" w16cid:durableId="622612349">
    <w:abstractNumId w:val="46"/>
  </w:num>
  <w:num w:numId="31" w16cid:durableId="1707753981">
    <w:abstractNumId w:val="42"/>
  </w:num>
  <w:num w:numId="32" w16cid:durableId="1303118396">
    <w:abstractNumId w:val="39"/>
  </w:num>
  <w:num w:numId="33" w16cid:durableId="285162141">
    <w:abstractNumId w:val="44"/>
  </w:num>
  <w:num w:numId="34" w16cid:durableId="1263807122">
    <w:abstractNumId w:val="6"/>
  </w:num>
  <w:num w:numId="35" w16cid:durableId="1459377377">
    <w:abstractNumId w:val="26"/>
  </w:num>
  <w:num w:numId="36" w16cid:durableId="288971243">
    <w:abstractNumId w:val="28"/>
  </w:num>
  <w:num w:numId="37" w16cid:durableId="720597507">
    <w:abstractNumId w:val="20"/>
  </w:num>
  <w:num w:numId="38" w16cid:durableId="449010362">
    <w:abstractNumId w:val="15"/>
  </w:num>
  <w:num w:numId="39" w16cid:durableId="1909463197">
    <w:abstractNumId w:val="22"/>
  </w:num>
  <w:num w:numId="40" w16cid:durableId="1455251962">
    <w:abstractNumId w:val="33"/>
  </w:num>
  <w:num w:numId="41" w16cid:durableId="729235423">
    <w:abstractNumId w:val="35"/>
  </w:num>
  <w:num w:numId="42" w16cid:durableId="795948290">
    <w:abstractNumId w:val="43"/>
  </w:num>
  <w:num w:numId="43" w16cid:durableId="909002734">
    <w:abstractNumId w:val="5"/>
  </w:num>
  <w:num w:numId="44" w16cid:durableId="2079130403">
    <w:abstractNumId w:val="3"/>
  </w:num>
  <w:num w:numId="45" w16cid:durableId="1157572264">
    <w:abstractNumId w:val="45"/>
  </w:num>
  <w:num w:numId="46" w16cid:durableId="285165497">
    <w:abstractNumId w:val="1"/>
  </w:num>
  <w:num w:numId="47" w16cid:durableId="625281832">
    <w:abstractNumId w:val="31"/>
  </w:num>
  <w:num w:numId="48" w16cid:durableId="18094492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850"/>
    <w:rsid w:val="00016D5B"/>
    <w:rsid w:val="00023D47"/>
    <w:rsid w:val="00030FE2"/>
    <w:rsid w:val="00043041"/>
    <w:rsid w:val="0005150B"/>
    <w:rsid w:val="00055547"/>
    <w:rsid w:val="00060146"/>
    <w:rsid w:val="000630CD"/>
    <w:rsid w:val="00067734"/>
    <w:rsid w:val="0007063D"/>
    <w:rsid w:val="00074E17"/>
    <w:rsid w:val="000942EE"/>
    <w:rsid w:val="0009628C"/>
    <w:rsid w:val="000972A8"/>
    <w:rsid w:val="000B23F1"/>
    <w:rsid w:val="000B5012"/>
    <w:rsid w:val="000B7D24"/>
    <w:rsid w:val="000C38CD"/>
    <w:rsid w:val="000C4797"/>
    <w:rsid w:val="000D0C1B"/>
    <w:rsid w:val="000E75D7"/>
    <w:rsid w:val="0010576D"/>
    <w:rsid w:val="0010646A"/>
    <w:rsid w:val="001133D5"/>
    <w:rsid w:val="001343FC"/>
    <w:rsid w:val="00135AF5"/>
    <w:rsid w:val="001441C8"/>
    <w:rsid w:val="00161C54"/>
    <w:rsid w:val="0016429A"/>
    <w:rsid w:val="00164B49"/>
    <w:rsid w:val="0017140E"/>
    <w:rsid w:val="00181B27"/>
    <w:rsid w:val="00182325"/>
    <w:rsid w:val="001861DC"/>
    <w:rsid w:val="00187AD4"/>
    <w:rsid w:val="001927C4"/>
    <w:rsid w:val="0019451A"/>
    <w:rsid w:val="001A29FD"/>
    <w:rsid w:val="001B7333"/>
    <w:rsid w:val="001C534A"/>
    <w:rsid w:val="001C6D6C"/>
    <w:rsid w:val="001D27F6"/>
    <w:rsid w:val="001D6119"/>
    <w:rsid w:val="001E5EB8"/>
    <w:rsid w:val="001E6E76"/>
    <w:rsid w:val="0020249E"/>
    <w:rsid w:val="00225A55"/>
    <w:rsid w:val="00240029"/>
    <w:rsid w:val="00257A40"/>
    <w:rsid w:val="00257AA9"/>
    <w:rsid w:val="00261EB0"/>
    <w:rsid w:val="00281B2F"/>
    <w:rsid w:val="00283E74"/>
    <w:rsid w:val="00292DA8"/>
    <w:rsid w:val="002A361E"/>
    <w:rsid w:val="002B55DC"/>
    <w:rsid w:val="002B6697"/>
    <w:rsid w:val="002C2D52"/>
    <w:rsid w:val="002C6EDB"/>
    <w:rsid w:val="002D34F8"/>
    <w:rsid w:val="002D64BE"/>
    <w:rsid w:val="002E2558"/>
    <w:rsid w:val="002F4775"/>
    <w:rsid w:val="002F56B7"/>
    <w:rsid w:val="00304DFC"/>
    <w:rsid w:val="00310F15"/>
    <w:rsid w:val="00320ED4"/>
    <w:rsid w:val="00342D93"/>
    <w:rsid w:val="0035719D"/>
    <w:rsid w:val="00361C7F"/>
    <w:rsid w:val="00361E2D"/>
    <w:rsid w:val="0036493B"/>
    <w:rsid w:val="00373D7B"/>
    <w:rsid w:val="00390C30"/>
    <w:rsid w:val="003A0700"/>
    <w:rsid w:val="003A7185"/>
    <w:rsid w:val="003A7507"/>
    <w:rsid w:val="003B79B7"/>
    <w:rsid w:val="0041571A"/>
    <w:rsid w:val="004252AC"/>
    <w:rsid w:val="0047117E"/>
    <w:rsid w:val="00475709"/>
    <w:rsid w:val="00483E58"/>
    <w:rsid w:val="004A529D"/>
    <w:rsid w:val="004B27A3"/>
    <w:rsid w:val="004B4F74"/>
    <w:rsid w:val="004B73C3"/>
    <w:rsid w:val="004B7D32"/>
    <w:rsid w:val="004C1D0E"/>
    <w:rsid w:val="004D28C2"/>
    <w:rsid w:val="004D4894"/>
    <w:rsid w:val="004F0DD7"/>
    <w:rsid w:val="00504682"/>
    <w:rsid w:val="00527F33"/>
    <w:rsid w:val="005433DB"/>
    <w:rsid w:val="00544DBE"/>
    <w:rsid w:val="005543AC"/>
    <w:rsid w:val="005568BE"/>
    <w:rsid w:val="00561408"/>
    <w:rsid w:val="005640DD"/>
    <w:rsid w:val="00566B92"/>
    <w:rsid w:val="00570273"/>
    <w:rsid w:val="005705AC"/>
    <w:rsid w:val="00572A2F"/>
    <w:rsid w:val="00573F5D"/>
    <w:rsid w:val="00582DF4"/>
    <w:rsid w:val="005A0EBB"/>
    <w:rsid w:val="005C0011"/>
    <w:rsid w:val="005C0BC2"/>
    <w:rsid w:val="005C1113"/>
    <w:rsid w:val="005E242C"/>
    <w:rsid w:val="00600B22"/>
    <w:rsid w:val="00606D3A"/>
    <w:rsid w:val="00612D61"/>
    <w:rsid w:val="00631124"/>
    <w:rsid w:val="00671483"/>
    <w:rsid w:val="006915E8"/>
    <w:rsid w:val="006B4815"/>
    <w:rsid w:val="006B565D"/>
    <w:rsid w:val="006B5831"/>
    <w:rsid w:val="006C1F40"/>
    <w:rsid w:val="006C53A4"/>
    <w:rsid w:val="006D0316"/>
    <w:rsid w:val="006D0357"/>
    <w:rsid w:val="006D53E3"/>
    <w:rsid w:val="006D71C7"/>
    <w:rsid w:val="006F4E71"/>
    <w:rsid w:val="007221B0"/>
    <w:rsid w:val="00724D6B"/>
    <w:rsid w:val="00725A3A"/>
    <w:rsid w:val="0074075A"/>
    <w:rsid w:val="0076221F"/>
    <w:rsid w:val="007648E0"/>
    <w:rsid w:val="0076595C"/>
    <w:rsid w:val="00777EC5"/>
    <w:rsid w:val="00781C92"/>
    <w:rsid w:val="0078270B"/>
    <w:rsid w:val="007A6627"/>
    <w:rsid w:val="007A68E0"/>
    <w:rsid w:val="007A6963"/>
    <w:rsid w:val="007A78AB"/>
    <w:rsid w:val="007B7543"/>
    <w:rsid w:val="007C5930"/>
    <w:rsid w:val="007C5E84"/>
    <w:rsid w:val="007E2C68"/>
    <w:rsid w:val="007E3BA6"/>
    <w:rsid w:val="007F1763"/>
    <w:rsid w:val="00802FB2"/>
    <w:rsid w:val="00807BE1"/>
    <w:rsid w:val="00811A93"/>
    <w:rsid w:val="00816671"/>
    <w:rsid w:val="00826321"/>
    <w:rsid w:val="00851ADF"/>
    <w:rsid w:val="00853599"/>
    <w:rsid w:val="008570BD"/>
    <w:rsid w:val="00861094"/>
    <w:rsid w:val="00862471"/>
    <w:rsid w:val="00870B8F"/>
    <w:rsid w:val="008904E9"/>
    <w:rsid w:val="00894FD8"/>
    <w:rsid w:val="008A1BC0"/>
    <w:rsid w:val="008A3A79"/>
    <w:rsid w:val="008A59C4"/>
    <w:rsid w:val="008B3831"/>
    <w:rsid w:val="008B4C74"/>
    <w:rsid w:val="008B5A29"/>
    <w:rsid w:val="008C0578"/>
    <w:rsid w:val="008C0882"/>
    <w:rsid w:val="008D5785"/>
    <w:rsid w:val="008E2E66"/>
    <w:rsid w:val="008E7E3F"/>
    <w:rsid w:val="008F436C"/>
    <w:rsid w:val="008F5EE2"/>
    <w:rsid w:val="0090138E"/>
    <w:rsid w:val="00906B81"/>
    <w:rsid w:val="00911946"/>
    <w:rsid w:val="0091201F"/>
    <w:rsid w:val="009236DE"/>
    <w:rsid w:val="00925D18"/>
    <w:rsid w:val="00932C58"/>
    <w:rsid w:val="00932E04"/>
    <w:rsid w:val="00934199"/>
    <w:rsid w:val="0094211D"/>
    <w:rsid w:val="009649DE"/>
    <w:rsid w:val="00965444"/>
    <w:rsid w:val="009724D1"/>
    <w:rsid w:val="00972757"/>
    <w:rsid w:val="009758EA"/>
    <w:rsid w:val="00982D83"/>
    <w:rsid w:val="00983FF0"/>
    <w:rsid w:val="009A0825"/>
    <w:rsid w:val="009A38B1"/>
    <w:rsid w:val="009D6EC9"/>
    <w:rsid w:val="009F29F4"/>
    <w:rsid w:val="00A06868"/>
    <w:rsid w:val="00A07668"/>
    <w:rsid w:val="00A10213"/>
    <w:rsid w:val="00A14686"/>
    <w:rsid w:val="00A211B9"/>
    <w:rsid w:val="00A21B0C"/>
    <w:rsid w:val="00A25884"/>
    <w:rsid w:val="00A25CED"/>
    <w:rsid w:val="00A40DDD"/>
    <w:rsid w:val="00A549E0"/>
    <w:rsid w:val="00A60925"/>
    <w:rsid w:val="00A62141"/>
    <w:rsid w:val="00A62AA9"/>
    <w:rsid w:val="00A671D9"/>
    <w:rsid w:val="00A67B64"/>
    <w:rsid w:val="00A84C5B"/>
    <w:rsid w:val="00AC0DEF"/>
    <w:rsid w:val="00AC26E5"/>
    <w:rsid w:val="00AC47A6"/>
    <w:rsid w:val="00AD7027"/>
    <w:rsid w:val="00AE410D"/>
    <w:rsid w:val="00AF24A3"/>
    <w:rsid w:val="00AF63C1"/>
    <w:rsid w:val="00AF703C"/>
    <w:rsid w:val="00B02F58"/>
    <w:rsid w:val="00B171B0"/>
    <w:rsid w:val="00B24880"/>
    <w:rsid w:val="00B27244"/>
    <w:rsid w:val="00B273CE"/>
    <w:rsid w:val="00B32E29"/>
    <w:rsid w:val="00B37501"/>
    <w:rsid w:val="00B40E67"/>
    <w:rsid w:val="00B42C0A"/>
    <w:rsid w:val="00B4707E"/>
    <w:rsid w:val="00B57214"/>
    <w:rsid w:val="00B57243"/>
    <w:rsid w:val="00B63A59"/>
    <w:rsid w:val="00B63DCD"/>
    <w:rsid w:val="00B64DF6"/>
    <w:rsid w:val="00B64E1D"/>
    <w:rsid w:val="00B66BE6"/>
    <w:rsid w:val="00BB0137"/>
    <w:rsid w:val="00BB0FD3"/>
    <w:rsid w:val="00BB29B0"/>
    <w:rsid w:val="00BC7397"/>
    <w:rsid w:val="00BD7CF0"/>
    <w:rsid w:val="00BE065F"/>
    <w:rsid w:val="00BE73A8"/>
    <w:rsid w:val="00BF1DCD"/>
    <w:rsid w:val="00C04448"/>
    <w:rsid w:val="00C2325C"/>
    <w:rsid w:val="00C37578"/>
    <w:rsid w:val="00C41B22"/>
    <w:rsid w:val="00C47B21"/>
    <w:rsid w:val="00C508E5"/>
    <w:rsid w:val="00C558B8"/>
    <w:rsid w:val="00C56AB3"/>
    <w:rsid w:val="00C74FA7"/>
    <w:rsid w:val="00C7752A"/>
    <w:rsid w:val="00C823E2"/>
    <w:rsid w:val="00C858E7"/>
    <w:rsid w:val="00C85939"/>
    <w:rsid w:val="00C90734"/>
    <w:rsid w:val="00C96EB6"/>
    <w:rsid w:val="00CA3272"/>
    <w:rsid w:val="00CA7B5D"/>
    <w:rsid w:val="00CB6554"/>
    <w:rsid w:val="00CB7AA1"/>
    <w:rsid w:val="00CC6FDD"/>
    <w:rsid w:val="00CD74FC"/>
    <w:rsid w:val="00CD7D48"/>
    <w:rsid w:val="00CE209F"/>
    <w:rsid w:val="00CE2850"/>
    <w:rsid w:val="00D004C1"/>
    <w:rsid w:val="00D15F32"/>
    <w:rsid w:val="00D162B7"/>
    <w:rsid w:val="00D216E0"/>
    <w:rsid w:val="00D31392"/>
    <w:rsid w:val="00D4352B"/>
    <w:rsid w:val="00D53D65"/>
    <w:rsid w:val="00D714C6"/>
    <w:rsid w:val="00D8743B"/>
    <w:rsid w:val="00D95E08"/>
    <w:rsid w:val="00DA3034"/>
    <w:rsid w:val="00DC5E4B"/>
    <w:rsid w:val="00DC7B58"/>
    <w:rsid w:val="00DD197B"/>
    <w:rsid w:val="00DD7DDE"/>
    <w:rsid w:val="00DE4EEB"/>
    <w:rsid w:val="00DE6B38"/>
    <w:rsid w:val="00DE7E0A"/>
    <w:rsid w:val="00DF55BA"/>
    <w:rsid w:val="00E02FAD"/>
    <w:rsid w:val="00E11EE8"/>
    <w:rsid w:val="00E167A2"/>
    <w:rsid w:val="00E232E1"/>
    <w:rsid w:val="00E274DF"/>
    <w:rsid w:val="00E554EE"/>
    <w:rsid w:val="00E55911"/>
    <w:rsid w:val="00E56034"/>
    <w:rsid w:val="00E61983"/>
    <w:rsid w:val="00E61D25"/>
    <w:rsid w:val="00E67FC4"/>
    <w:rsid w:val="00E86382"/>
    <w:rsid w:val="00E9411A"/>
    <w:rsid w:val="00EA4B51"/>
    <w:rsid w:val="00EC3375"/>
    <w:rsid w:val="00EC5FEA"/>
    <w:rsid w:val="00ED5B1A"/>
    <w:rsid w:val="00EF2003"/>
    <w:rsid w:val="00EF6139"/>
    <w:rsid w:val="00F0399F"/>
    <w:rsid w:val="00F03AE9"/>
    <w:rsid w:val="00F05694"/>
    <w:rsid w:val="00F112B8"/>
    <w:rsid w:val="00F135FB"/>
    <w:rsid w:val="00F17A78"/>
    <w:rsid w:val="00F20B71"/>
    <w:rsid w:val="00F34369"/>
    <w:rsid w:val="00F37989"/>
    <w:rsid w:val="00F60786"/>
    <w:rsid w:val="00F63502"/>
    <w:rsid w:val="00F67012"/>
    <w:rsid w:val="00F71F65"/>
    <w:rsid w:val="00F7782D"/>
    <w:rsid w:val="00F82B31"/>
    <w:rsid w:val="00F84E72"/>
    <w:rsid w:val="00FA0D71"/>
    <w:rsid w:val="00FB3002"/>
    <w:rsid w:val="00FC6E01"/>
    <w:rsid w:val="00FC73CB"/>
    <w:rsid w:val="00FE08A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700"/>
    <w:rPr>
      <w:sz w:val="24"/>
      <w:szCs w:val="24"/>
    </w:rPr>
  </w:style>
  <w:style w:type="paragraph" w:styleId="Titre2">
    <w:name w:val="heading 2"/>
    <w:basedOn w:val="Normal"/>
    <w:next w:val="Normal"/>
    <w:link w:val="Titre2Car"/>
    <w:semiHidden/>
    <w:unhideWhenUsed/>
    <w:qFormat/>
    <w:rsid w:val="00FE08A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Titre2Car">
    <w:name w:val="Titre 2 Car"/>
    <w:basedOn w:val="Policepardfaut"/>
    <w:link w:val="Titre2"/>
    <w:semiHidden/>
    <w:rsid w:val="00FE08A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304CF-BE9A-4ED2-AD3D-8EE188B5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2913</Words>
  <Characters>16027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18903</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Youcef Seg</cp:lastModifiedBy>
  <cp:revision>6</cp:revision>
  <cp:lastPrinted>2013-05-24T14:05:00Z</cp:lastPrinted>
  <dcterms:created xsi:type="dcterms:W3CDTF">2021-12-29T19:48:00Z</dcterms:created>
  <dcterms:modified xsi:type="dcterms:W3CDTF">2026-07-08T12:57:00Z</dcterms:modified>
</cp:coreProperties>
</file>